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Curriculum Correlation Document</w:t>
      </w:r>
    </w:p>
    <w:p>
      <w:pPr>
        <w:pStyle w:val="Heading1"/>
      </w:pPr>
      <w:r>
        <w:t>Screen Time, Fire Drills &amp; Good Habits!</w:t>
      </w:r>
    </w:p>
    <w:p>
      <w:r>
        <w:t>Ontario Curriculum Correlation – English</w:t>
      </w:r>
    </w:p>
    <w:p>
      <w:r>
        <w:t>Target Grades: Kindergarten to Grade 2</w:t>
      </w:r>
    </w:p>
    <w:p>
      <w:r>
        <w:br w:type="page"/>
      </w:r>
    </w:p>
    <w:p>
      <w:pPr>
        <w:pStyle w:val="Heading1"/>
      </w:pPr>
      <w:r>
        <w:t>Purpose of This Document</w:t>
      </w:r>
    </w:p>
    <w:p>
      <w:r>
        <w:t>This document outlines the correlations between the educational video “Screen Time, Fire Drills &amp; Good Habits!” and the Ontario Curriculum. The correlations focus on Health and Physical Education (HPE), Language, and Science and Technology.</w:t>
      </w:r>
    </w:p>
    <w:p>
      <w:r>
        <w:br w:type="page"/>
      </w:r>
    </w:p>
    <w:p>
      <w:pPr>
        <w:pStyle w:val="Heading1"/>
      </w:pPr>
      <w:r>
        <w:t>Video Segment Reference</w:t>
      </w:r>
    </w:p>
    <w:p>
      <w:r>
        <w:t>S1 – Fire drill practice and evacuation routine</w:t>
        <w:br/>
        <w:t>S2 – Paying attention while walking (screen awareness)</w:t>
        <w:br/>
        <w:t>S3 – Screen time limits and healthy balance</w:t>
        <w:br/>
        <w:t>S4 – Recycling and environmental responsibility</w:t>
        <w:br/>
        <w:t>S5 – Helping at home and following rules</w:t>
        <w:br/>
        <w:t>S6 – Practising good habits for safety and responsibility</w:t>
      </w:r>
    </w:p>
    <w:p>
      <w:r>
        <w:br w:type="page"/>
      </w:r>
    </w:p>
    <w:p>
      <w:pPr>
        <w:pStyle w:val="Heading1"/>
      </w:pPr>
      <w:r>
        <w:t>Health and Physical Education (HPE)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Grade / Strand</w:t>
            </w:r>
          </w:p>
        </w:tc>
        <w:tc>
          <w:tcPr>
            <w:tcW w:type="dxa" w:w="2160"/>
          </w:tcPr>
          <w:p>
            <w:r>
              <w:t>Ontario Curriculum Outcome</w:t>
            </w:r>
          </w:p>
        </w:tc>
        <w:tc>
          <w:tcPr>
            <w:tcW w:type="dxa" w:w="2160"/>
          </w:tcPr>
          <w:p>
            <w:r>
              <w:t>Video Segment(s)</w:t>
            </w:r>
          </w:p>
        </w:tc>
        <w:tc>
          <w:tcPr>
            <w:tcW w:type="dxa" w:w="2160"/>
          </w:tcPr>
          <w:p>
            <w:r>
              <w:t>Learning Connection</w:t>
            </w:r>
          </w:p>
        </w:tc>
      </w:tr>
      <w:tr>
        <w:tc>
          <w:tcPr>
            <w:tcW w:type="dxa" w:w="2160"/>
          </w:tcPr>
          <w:p>
            <w:r>
              <w:t>K–2, Personal Safety</w:t>
            </w:r>
          </w:p>
        </w:tc>
        <w:tc>
          <w:tcPr>
            <w:tcW w:type="dxa" w:w="2160"/>
          </w:tcPr>
          <w:p>
            <w:r>
              <w:t>Awareness of safety rules and routines</w:t>
            </w:r>
          </w:p>
        </w:tc>
        <w:tc>
          <w:tcPr>
            <w:tcW w:type="dxa" w:w="2160"/>
          </w:tcPr>
          <w:p>
            <w:r>
              <w:t>S1, S2</w:t>
            </w:r>
          </w:p>
        </w:tc>
        <w:tc>
          <w:tcPr>
            <w:tcW w:type="dxa" w:w="2160"/>
          </w:tcPr>
          <w:p>
            <w:r>
              <w:t>Students learn fire drill procedures and safe movement.</w:t>
            </w:r>
          </w:p>
        </w:tc>
      </w:tr>
      <w:tr>
        <w:tc>
          <w:tcPr>
            <w:tcW w:type="dxa" w:w="2160"/>
          </w:tcPr>
          <w:p>
            <w:r>
              <w:t>K–2, Healthy Living</w:t>
            </w:r>
          </w:p>
        </w:tc>
        <w:tc>
          <w:tcPr>
            <w:tcW w:type="dxa" w:w="2160"/>
          </w:tcPr>
          <w:p>
            <w:r>
              <w:t>Self-regulation and healthy routines</w:t>
            </w:r>
          </w:p>
        </w:tc>
        <w:tc>
          <w:tcPr>
            <w:tcW w:type="dxa" w:w="2160"/>
          </w:tcPr>
          <w:p>
            <w:r>
              <w:t>S3, S6</w:t>
            </w:r>
          </w:p>
        </w:tc>
        <w:tc>
          <w:tcPr>
            <w:tcW w:type="dxa" w:w="2160"/>
          </w:tcPr>
          <w:p>
            <w:r>
              <w:t>Encourages balanced screen use and routines.</w:t>
            </w:r>
          </w:p>
        </w:tc>
      </w:tr>
      <w:tr>
        <w:tc>
          <w:tcPr>
            <w:tcW w:type="dxa" w:w="2160"/>
          </w:tcPr>
          <w:p>
            <w:r>
              <w:t>K–2, Social-Emotional Learning</w:t>
            </w:r>
          </w:p>
        </w:tc>
        <w:tc>
          <w:tcPr>
            <w:tcW w:type="dxa" w:w="2160"/>
          </w:tcPr>
          <w:p>
            <w:r>
              <w:t>Responsible behaviour and cooperation</w:t>
            </w:r>
          </w:p>
        </w:tc>
        <w:tc>
          <w:tcPr>
            <w:tcW w:type="dxa" w:w="2160"/>
          </w:tcPr>
          <w:p>
            <w:r>
              <w:t>S5, S6</w:t>
            </w:r>
          </w:p>
        </w:tc>
        <w:tc>
          <w:tcPr>
            <w:tcW w:type="dxa" w:w="2160"/>
          </w:tcPr>
          <w:p>
            <w:r>
              <w:t>Promotes helping at home and following rules.</w:t>
            </w:r>
          </w:p>
        </w:tc>
      </w:tr>
    </w:tbl>
    <w:p>
      <w:r>
        <w:br w:type="page"/>
      </w:r>
    </w:p>
    <w:p>
      <w:pPr>
        <w:pStyle w:val="Heading1"/>
      </w:pPr>
      <w:r>
        <w:t>Language Curriculum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Grade / Strand</w:t>
            </w:r>
          </w:p>
        </w:tc>
        <w:tc>
          <w:tcPr>
            <w:tcW w:type="dxa" w:w="2160"/>
          </w:tcPr>
          <w:p>
            <w:r>
              <w:t>Ontario Curriculum Outcome</w:t>
            </w:r>
          </w:p>
        </w:tc>
        <w:tc>
          <w:tcPr>
            <w:tcW w:type="dxa" w:w="2160"/>
          </w:tcPr>
          <w:p>
            <w:r>
              <w:t>Video Segment(s)</w:t>
            </w:r>
          </w:p>
        </w:tc>
        <w:tc>
          <w:tcPr>
            <w:tcW w:type="dxa" w:w="2160"/>
          </w:tcPr>
          <w:p>
            <w:r>
              <w:t>Learning Connection</w:t>
            </w:r>
          </w:p>
        </w:tc>
      </w:tr>
      <w:tr>
        <w:tc>
          <w:tcPr>
            <w:tcW w:type="dxa" w:w="2160"/>
          </w:tcPr>
          <w:p>
            <w:r>
              <w:t>K–2, Oral Communication</w:t>
            </w:r>
          </w:p>
        </w:tc>
        <w:tc>
          <w:tcPr>
            <w:tcW w:type="dxa" w:w="2160"/>
          </w:tcPr>
          <w:p>
            <w:r>
              <w:t>Listening and responding to stories</w:t>
            </w:r>
          </w:p>
        </w:tc>
        <w:tc>
          <w:tcPr>
            <w:tcW w:type="dxa" w:w="2160"/>
          </w:tcPr>
          <w:p>
            <w:r>
              <w:t>S1–S6</w:t>
            </w:r>
          </w:p>
        </w:tc>
        <w:tc>
          <w:tcPr>
            <w:tcW w:type="dxa" w:w="2160"/>
          </w:tcPr>
          <w:p>
            <w:r>
              <w:t>Students discuss safety and habits shown.</w:t>
            </w:r>
          </w:p>
        </w:tc>
      </w:tr>
      <w:tr>
        <w:tc>
          <w:tcPr>
            <w:tcW w:type="dxa" w:w="2160"/>
          </w:tcPr>
          <w:p>
            <w:r>
              <w:t>K–2, Media Literacy</w:t>
            </w:r>
          </w:p>
        </w:tc>
        <w:tc>
          <w:tcPr>
            <w:tcW w:type="dxa" w:w="2160"/>
          </w:tcPr>
          <w:p>
            <w:r>
              <w:t>Understanding messages in media texts</w:t>
            </w:r>
          </w:p>
        </w:tc>
        <w:tc>
          <w:tcPr>
            <w:tcW w:type="dxa" w:w="2160"/>
          </w:tcPr>
          <w:p>
            <w:r>
              <w:t>S3, S6</w:t>
            </w:r>
          </w:p>
        </w:tc>
        <w:tc>
          <w:tcPr>
            <w:tcW w:type="dxa" w:w="2160"/>
          </w:tcPr>
          <w:p>
            <w:r>
              <w:t>Identifies messages about screen time and habits.</w:t>
            </w:r>
          </w:p>
        </w:tc>
      </w:tr>
      <w:tr>
        <w:tc>
          <w:tcPr>
            <w:tcW w:type="dxa" w:w="2160"/>
          </w:tcPr>
          <w:p>
            <w:r>
              <w:t>K–2, Reading</w:t>
            </w:r>
          </w:p>
        </w:tc>
        <w:tc>
          <w:tcPr>
            <w:tcW w:type="dxa" w:w="2160"/>
          </w:tcPr>
          <w:p>
            <w:r>
              <w:t>Demonstrating understanding of texts</w:t>
            </w:r>
          </w:p>
        </w:tc>
        <w:tc>
          <w:tcPr>
            <w:tcW w:type="dxa" w:w="2160"/>
          </w:tcPr>
          <w:p>
            <w:r>
              <w:t>S1–S6</w:t>
            </w:r>
          </w:p>
        </w:tc>
        <w:tc>
          <w:tcPr>
            <w:tcW w:type="dxa" w:w="2160"/>
          </w:tcPr>
          <w:p>
            <w:r>
              <w:t>Students retell events and rules.</w:t>
            </w:r>
          </w:p>
        </w:tc>
      </w:tr>
    </w:tbl>
    <w:p>
      <w:r>
        <w:br w:type="page"/>
      </w:r>
    </w:p>
    <w:p>
      <w:pPr>
        <w:pStyle w:val="Heading1"/>
      </w:pPr>
      <w:r>
        <w:t>Science and Technology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Grade / Strand</w:t>
            </w:r>
          </w:p>
        </w:tc>
        <w:tc>
          <w:tcPr>
            <w:tcW w:type="dxa" w:w="2160"/>
          </w:tcPr>
          <w:p>
            <w:r>
              <w:t>Ontario Curriculum Outcome</w:t>
            </w:r>
          </w:p>
        </w:tc>
        <w:tc>
          <w:tcPr>
            <w:tcW w:type="dxa" w:w="2160"/>
          </w:tcPr>
          <w:p>
            <w:r>
              <w:t>Video Segment(s)</w:t>
            </w:r>
          </w:p>
        </w:tc>
        <w:tc>
          <w:tcPr>
            <w:tcW w:type="dxa" w:w="2160"/>
          </w:tcPr>
          <w:p>
            <w:r>
              <w:t>Learning Connection</w:t>
            </w:r>
          </w:p>
        </w:tc>
      </w:tr>
      <w:tr>
        <w:tc>
          <w:tcPr>
            <w:tcW w:type="dxa" w:w="2160"/>
          </w:tcPr>
          <w:p>
            <w:r>
              <w:t>K–2, Structures &amp; Systems</w:t>
            </w:r>
          </w:p>
        </w:tc>
        <w:tc>
          <w:tcPr>
            <w:tcW w:type="dxa" w:w="2160"/>
          </w:tcPr>
          <w:p>
            <w:r>
              <w:t>Recognize safety systems</w:t>
            </w:r>
          </w:p>
        </w:tc>
        <w:tc>
          <w:tcPr>
            <w:tcW w:type="dxa" w:w="2160"/>
          </w:tcPr>
          <w:p>
            <w:r>
              <w:t>S1</w:t>
            </w:r>
          </w:p>
        </w:tc>
        <w:tc>
          <w:tcPr>
            <w:tcW w:type="dxa" w:w="2160"/>
          </w:tcPr>
          <w:p>
            <w:r>
              <w:t>Fire alarms and evacuation routines.</w:t>
            </w:r>
          </w:p>
        </w:tc>
      </w:tr>
      <w:tr>
        <w:tc>
          <w:tcPr>
            <w:tcW w:type="dxa" w:w="2160"/>
          </w:tcPr>
          <w:p>
            <w:r>
              <w:t>K–2, Environmental Awareness</w:t>
            </w:r>
          </w:p>
        </w:tc>
        <w:tc>
          <w:tcPr>
            <w:tcW w:type="dxa" w:w="2160"/>
          </w:tcPr>
          <w:p>
            <w:r>
              <w:t>Demonstrate responsibility toward environment</w:t>
            </w:r>
          </w:p>
        </w:tc>
        <w:tc>
          <w:tcPr>
            <w:tcW w:type="dxa" w:w="2160"/>
          </w:tcPr>
          <w:p>
            <w:r>
              <w:t>S4</w:t>
            </w:r>
          </w:p>
        </w:tc>
        <w:tc>
          <w:tcPr>
            <w:tcW w:type="dxa" w:w="2160"/>
          </w:tcPr>
          <w:p>
            <w:r>
              <w:t>Recycling behaviours.</w:t>
            </w:r>
          </w:p>
        </w:tc>
      </w:tr>
      <w:tr>
        <w:tc>
          <w:tcPr>
            <w:tcW w:type="dxa" w:w="2160"/>
          </w:tcPr>
          <w:p>
            <w:r>
              <w:t>K–2, Technology in Daily Life</w:t>
            </w:r>
          </w:p>
        </w:tc>
        <w:tc>
          <w:tcPr>
            <w:tcW w:type="dxa" w:w="2160"/>
          </w:tcPr>
          <w:p>
            <w:r>
              <w:t>Recognize impact of technology</w:t>
            </w:r>
          </w:p>
        </w:tc>
        <w:tc>
          <w:tcPr>
            <w:tcW w:type="dxa" w:w="2160"/>
          </w:tcPr>
          <w:p>
            <w:r>
              <w:t>S2, S3</w:t>
            </w:r>
          </w:p>
        </w:tc>
        <w:tc>
          <w:tcPr>
            <w:tcW w:type="dxa" w:w="2160"/>
          </w:tcPr>
          <w:p>
            <w:r>
              <w:t>Screen use linked to attention and safety.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