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Curriculum Correlation Document</w:t>
      </w:r>
    </w:p>
    <w:p>
      <w:pPr>
        <w:pStyle w:val="Heading1"/>
      </w:pPr>
      <w:r>
        <w:t>Netiquette: A Student’s Guide to Digital Etiquette</w:t>
      </w:r>
    </w:p>
    <w:p>
      <w:r>
        <w:t>Ontario Curriculum Correlation (English)</w:t>
      </w:r>
    </w:p>
    <w:p>
      <w:r>
        <w:br w:type="page"/>
      </w:r>
    </w:p>
    <w:p>
      <w:pPr>
        <w:pStyle w:val="Heading1"/>
      </w:pPr>
      <w:r>
        <w:t>Purpose of This Document</w:t>
      </w:r>
    </w:p>
    <w:p>
      <w:r>
        <w:t>This document outlines explicit correlations between the educational video “Netiquette: A Student’s Guide to Digital Etiquette” and the Ontario Curriculum. The correlations focus on Health and Physical Education (HPE), Language, and Science &amp; Technology, highlighting how specific learning expectations are addressed through video content.</w:t>
      </w:r>
    </w:p>
    <w:p>
      <w:r>
        <w:br w:type="page"/>
      </w:r>
    </w:p>
    <w:p>
      <w:pPr>
        <w:pStyle w:val="Heading1"/>
      </w:pPr>
      <w:r>
        <w:t>Curriculum Correlations</w:t>
      </w:r>
    </w:p>
    <w:p>
      <w:pPr>
        <w:pStyle w:val="Heading2"/>
      </w:pPr>
      <w:r>
        <w:t>Health and Physical Education (HPE)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Ontario Curriculum Expectation</w:t>
            </w:r>
          </w:p>
        </w:tc>
        <w:tc>
          <w:tcPr>
            <w:tcW w:type="dxa" w:w="2880"/>
          </w:tcPr>
          <w:p>
            <w:r>
              <w:t>Video Segment</w:t>
            </w:r>
          </w:p>
        </w:tc>
        <w:tc>
          <w:tcPr>
            <w:tcW w:type="dxa" w:w="2880"/>
          </w:tcPr>
          <w:p>
            <w:r>
              <w:t>Connection to Learning</w:t>
            </w:r>
          </w:p>
        </w:tc>
      </w:tr>
      <w:tr>
        <w:tc>
          <w:tcPr>
            <w:tcW w:type="dxa" w:w="2880"/>
          </w:tcPr>
          <w:p>
            <w:r>
              <w:t>SEL Skills – Responsible Behaviour and Respect</w:t>
            </w:r>
          </w:p>
        </w:tc>
        <w:tc>
          <w:tcPr>
            <w:tcW w:type="dxa" w:w="2880"/>
          </w:tcPr>
          <w:p>
            <w:r>
              <w:t>Video explanation of respectful online communication and thinking before posting</w:t>
            </w:r>
          </w:p>
        </w:tc>
        <w:tc>
          <w:tcPr>
            <w:tcW w:type="dxa" w:w="2880"/>
          </w:tcPr>
          <w:p>
            <w:r>
              <w:t>Students learn how respectful digital communication supports emotional well-being and positive relationships.</w:t>
            </w:r>
          </w:p>
        </w:tc>
      </w:tr>
      <w:tr>
        <w:tc>
          <w:tcPr>
            <w:tcW w:type="dxa" w:w="2880"/>
          </w:tcPr>
          <w:p>
            <w:r>
              <w:t>Digital Citizenship &amp; Online Safety</w:t>
            </w:r>
          </w:p>
        </w:tc>
        <w:tc>
          <w:tcPr>
            <w:tcW w:type="dxa" w:w="2880"/>
          </w:tcPr>
          <w:p>
            <w:r>
              <w:t>Discussion on being safe, respectful, and responsible online</w:t>
            </w:r>
          </w:p>
        </w:tc>
        <w:tc>
          <w:tcPr>
            <w:tcW w:type="dxa" w:w="2880"/>
          </w:tcPr>
          <w:p>
            <w:r>
              <w:t>Video reinforces responsible decision-making and awareness of online consequences.</w:t>
            </w:r>
          </w:p>
        </w:tc>
      </w:tr>
    </w:tbl>
    <w:p>
      <w:pPr>
        <w:pStyle w:val="Heading2"/>
      </w:pPr>
      <w:r>
        <w:t>Language Curriculum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Ontario Curriculum Expectation</w:t>
            </w:r>
          </w:p>
        </w:tc>
        <w:tc>
          <w:tcPr>
            <w:tcW w:type="dxa" w:w="2880"/>
          </w:tcPr>
          <w:p>
            <w:r>
              <w:t>Video Segment</w:t>
            </w:r>
          </w:p>
        </w:tc>
        <w:tc>
          <w:tcPr>
            <w:tcW w:type="dxa" w:w="2880"/>
          </w:tcPr>
          <w:p>
            <w:r>
              <w:t>Connection to Learning</w:t>
            </w:r>
          </w:p>
        </w:tc>
      </w:tr>
      <w:tr>
        <w:tc>
          <w:tcPr>
            <w:tcW w:type="dxa" w:w="2880"/>
          </w:tcPr>
          <w:p>
            <w:r>
              <w:t>Writing – Purpose and Audience</w:t>
            </w:r>
          </w:p>
        </w:tc>
        <w:tc>
          <w:tcPr>
            <w:tcW w:type="dxa" w:w="2880"/>
          </w:tcPr>
          <w:p>
            <w:r>
              <w:t>Formal vs informal communication explained</w:t>
            </w:r>
          </w:p>
        </w:tc>
        <w:tc>
          <w:tcPr>
            <w:tcW w:type="dxa" w:w="2880"/>
          </w:tcPr>
          <w:p>
            <w:r>
              <w:t>Students learn to adapt tone and structure based on audience.</w:t>
            </w:r>
          </w:p>
        </w:tc>
      </w:tr>
      <w:tr>
        <w:tc>
          <w:tcPr>
            <w:tcW w:type="dxa" w:w="2880"/>
          </w:tcPr>
          <w:p>
            <w:r>
              <w:t>Writing – Conventions</w:t>
            </w:r>
          </w:p>
        </w:tc>
        <w:tc>
          <w:tcPr>
            <w:tcW w:type="dxa" w:w="2880"/>
          </w:tcPr>
          <w:p>
            <w:r>
              <w:t>Emphasis on greetings, punctuation, capitalization</w:t>
            </w:r>
          </w:p>
        </w:tc>
        <w:tc>
          <w:tcPr>
            <w:tcW w:type="dxa" w:w="2880"/>
          </w:tcPr>
          <w:p>
            <w:r>
              <w:t>Reinforces grammar and clarity in digital writing.</w:t>
            </w:r>
          </w:p>
        </w:tc>
      </w:tr>
      <w:tr>
        <w:tc>
          <w:tcPr>
            <w:tcW w:type="dxa" w:w="2880"/>
          </w:tcPr>
          <w:p>
            <w:r>
              <w:t>Media Literacy – Digital Texts</w:t>
            </w:r>
          </w:p>
        </w:tc>
        <w:tc>
          <w:tcPr>
            <w:tcW w:type="dxa" w:w="2880"/>
          </w:tcPr>
          <w:p>
            <w:r>
              <w:t>Online messaging examples</w:t>
            </w:r>
          </w:p>
        </w:tc>
        <w:tc>
          <w:tcPr>
            <w:tcW w:type="dxa" w:w="2880"/>
          </w:tcPr>
          <w:p>
            <w:r>
              <w:t>Students analyze how meaning and tone change in digital environments.</w:t>
            </w:r>
          </w:p>
        </w:tc>
      </w:tr>
    </w:tbl>
    <w:p>
      <w:pPr>
        <w:pStyle w:val="Heading2"/>
      </w:pPr>
      <w:r>
        <w:t>Science and Technology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Ontario Curriculum Expectation</w:t>
            </w:r>
          </w:p>
        </w:tc>
        <w:tc>
          <w:tcPr>
            <w:tcW w:type="dxa" w:w="2880"/>
          </w:tcPr>
          <w:p>
            <w:r>
              <w:t>Video Segment</w:t>
            </w:r>
          </w:p>
        </w:tc>
        <w:tc>
          <w:tcPr>
            <w:tcW w:type="dxa" w:w="2880"/>
          </w:tcPr>
          <w:p>
            <w:r>
              <w:t>Connection to Learning</w:t>
            </w:r>
          </w:p>
        </w:tc>
      </w:tr>
      <w:tr>
        <w:tc>
          <w:tcPr>
            <w:tcW w:type="dxa" w:w="2880"/>
          </w:tcPr>
          <w:p>
            <w:r>
              <w:t>Understanding Digital Tools and Systems</w:t>
            </w:r>
          </w:p>
        </w:tc>
        <w:tc>
          <w:tcPr>
            <w:tcW w:type="dxa" w:w="2880"/>
          </w:tcPr>
          <w:p>
            <w:r>
              <w:t>Use of online platforms for communication</w:t>
            </w:r>
          </w:p>
        </w:tc>
        <w:tc>
          <w:tcPr>
            <w:tcW w:type="dxa" w:w="2880"/>
          </w:tcPr>
          <w:p>
            <w:r>
              <w:t>Students understand how technology mediates communication.</w:t>
            </w:r>
          </w:p>
        </w:tc>
      </w:tr>
      <w:tr>
        <w:tc>
          <w:tcPr>
            <w:tcW w:type="dxa" w:w="2880"/>
          </w:tcPr>
          <w:p>
            <w:r>
              <w:t>Technology &amp; Society</w:t>
            </w:r>
          </w:p>
        </w:tc>
        <w:tc>
          <w:tcPr>
            <w:tcW w:type="dxa" w:w="2880"/>
          </w:tcPr>
          <w:p>
            <w:r>
              <w:t>Discussion of long-term impact of digital behaviour</w:t>
            </w:r>
          </w:p>
        </w:tc>
        <w:tc>
          <w:tcPr>
            <w:tcW w:type="dxa" w:w="2880"/>
          </w:tcPr>
          <w:p>
            <w:r>
              <w:t>Encourages responsible and ethical use of digital tools.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