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Document de corrélation avec le curriculum</w:t>
      </w:r>
    </w:p>
    <w:p>
      <w:pPr>
        <w:pStyle w:val="Heading1"/>
      </w:pPr>
      <w:r>
        <w:t>Être un bon citoyen numérique : respecter les autres en ligne</w:t>
      </w:r>
    </w:p>
    <w:p>
      <w:r>
        <w:t>Corrélation avec le curriculum de l’Ontario – Français (Québec)</w:t>
      </w:r>
    </w:p>
    <w:p>
      <w:r>
        <w:br w:type="page"/>
      </w:r>
    </w:p>
    <w:p>
      <w:pPr>
        <w:pStyle w:val="Heading1"/>
      </w:pPr>
      <w:r>
        <w:t>Objectif du document</w:t>
      </w:r>
    </w:p>
    <w:p>
      <w:r>
        <w:t>Ce document présente les liens explicites entre la vidéo éducative « Être un bon citoyen numérique : respecter les autres en ligne » et le curriculum de l’Ontario. Les corrélations portent sur les programmes d’Éducation physique et santé, de Français et de Sciences et technologie, en mettant l’accent sur la citoyenneté numérique, le respect et la sécurité en ligne.</w:t>
      </w:r>
    </w:p>
    <w:p>
      <w:r>
        <w:br w:type="page"/>
      </w:r>
    </w:p>
    <w:p>
      <w:pPr>
        <w:pStyle w:val="Heading1"/>
      </w:pPr>
      <w:r>
        <w:t>Éducation physique et santé</w:t>
      </w:r>
    </w:p>
    <w:tbl>
      <w:tblPr>
        <w:tblStyle w:val="TableGrid"/>
        <w:tblW w:type="auto" w:w="0"/>
        <w:tblLook w:firstColumn="1" w:firstRow="1" w:lastColumn="0" w:lastRow="0" w:noHBand="0" w:noVBand="1" w:val="04A0"/>
      </w:tblPr>
      <w:tblGrid>
        <w:gridCol w:w="2880"/>
        <w:gridCol w:w="2880"/>
        <w:gridCol w:w="2880"/>
      </w:tblGrid>
      <w:tr>
        <w:tc>
          <w:tcPr>
            <w:tcW w:type="dxa" w:w="2880"/>
          </w:tcPr>
          <w:p>
            <w:r>
              <w:t>Attente du curriculum</w:t>
            </w:r>
          </w:p>
        </w:tc>
        <w:tc>
          <w:tcPr>
            <w:tcW w:type="dxa" w:w="2880"/>
          </w:tcPr>
          <w:p>
            <w:r>
              <w:t>Segment de la vidéo</w:t>
            </w:r>
          </w:p>
        </w:tc>
        <w:tc>
          <w:tcPr>
            <w:tcW w:type="dxa" w:w="2880"/>
          </w:tcPr>
          <w:p>
            <w:r>
              <w:t>Lien avec l’apprentissage</w:t>
            </w:r>
          </w:p>
        </w:tc>
      </w:tr>
      <w:tr>
        <w:tc>
          <w:tcPr>
            <w:tcW w:type="dxa" w:w="2880"/>
          </w:tcPr>
          <w:p>
            <w:r>
              <w:t>Compétences socioémotionnelles – Respect et empathie</w:t>
            </w:r>
          </w:p>
        </w:tc>
        <w:tc>
          <w:tcPr>
            <w:tcW w:type="dxa" w:w="2880"/>
          </w:tcPr>
          <w:p>
            <w:r>
              <w:t>Présentation de l’importance de la gentillesse et du respect en ligne</w:t>
            </w:r>
          </w:p>
        </w:tc>
        <w:tc>
          <w:tcPr>
            <w:tcW w:type="dxa" w:w="2880"/>
          </w:tcPr>
          <w:p>
            <w:r>
              <w:t>Les élèves développent des comportements favorisant le bien-être émotionnel.</w:t>
            </w:r>
          </w:p>
        </w:tc>
      </w:tr>
      <w:tr>
        <w:tc>
          <w:tcPr>
            <w:tcW w:type="dxa" w:w="2880"/>
          </w:tcPr>
          <w:p>
            <w:r>
              <w:t>Sécurité personnelle – Prévention de la cyberintimidation</w:t>
            </w:r>
          </w:p>
        </w:tc>
        <w:tc>
          <w:tcPr>
            <w:tcW w:type="dxa" w:w="2880"/>
          </w:tcPr>
          <w:p>
            <w:r>
              <w:t>Explication de la cyberintimidation et des stratégies d’aide</w:t>
            </w:r>
          </w:p>
        </w:tc>
        <w:tc>
          <w:tcPr>
            <w:tcW w:type="dxa" w:w="2880"/>
          </w:tcPr>
          <w:p>
            <w:r>
              <w:t>Les élèves apprennent à reconnaître les risques et à demander de l’aide.</w:t>
            </w:r>
          </w:p>
        </w:tc>
      </w:tr>
    </w:tbl>
    <w:p>
      <w:pPr>
        <w:pStyle w:val="Heading1"/>
      </w:pPr>
      <w:r>
        <w:t>Français – Communication et littératie médiatique</w:t>
      </w:r>
    </w:p>
    <w:tbl>
      <w:tblPr>
        <w:tblStyle w:val="TableGrid"/>
        <w:tblW w:type="auto" w:w="0"/>
        <w:tblLook w:firstColumn="1" w:firstRow="1" w:lastColumn="0" w:lastRow="0" w:noHBand="0" w:noVBand="1" w:val="04A0"/>
      </w:tblPr>
      <w:tblGrid>
        <w:gridCol w:w="2880"/>
        <w:gridCol w:w="2880"/>
        <w:gridCol w:w="2880"/>
      </w:tblGrid>
      <w:tr>
        <w:tc>
          <w:tcPr>
            <w:tcW w:type="dxa" w:w="2880"/>
          </w:tcPr>
          <w:p>
            <w:r>
              <w:t>Attente du curriculum</w:t>
            </w:r>
          </w:p>
        </w:tc>
        <w:tc>
          <w:tcPr>
            <w:tcW w:type="dxa" w:w="2880"/>
          </w:tcPr>
          <w:p>
            <w:r>
              <w:t>Segment de la vidéo</w:t>
            </w:r>
          </w:p>
        </w:tc>
        <w:tc>
          <w:tcPr>
            <w:tcW w:type="dxa" w:w="2880"/>
          </w:tcPr>
          <w:p>
            <w:r>
              <w:t>Lien avec l’apprentissage</w:t>
            </w:r>
          </w:p>
        </w:tc>
      </w:tr>
      <w:tr>
        <w:tc>
          <w:tcPr>
            <w:tcW w:type="dxa" w:w="2880"/>
          </w:tcPr>
          <w:p>
            <w:r>
              <w:t>Communication orale – Adapter le message au contexte</w:t>
            </w:r>
          </w:p>
        </w:tc>
        <w:tc>
          <w:tcPr>
            <w:tcW w:type="dxa" w:w="2880"/>
          </w:tcPr>
          <w:p>
            <w:r>
              <w:t>Encouragement à s’exprimer contre les comportements nuisibles</w:t>
            </w:r>
          </w:p>
        </w:tc>
        <w:tc>
          <w:tcPr>
            <w:tcW w:type="dxa" w:w="2880"/>
          </w:tcPr>
          <w:p>
            <w:r>
              <w:t>Les élèves réfléchissent au ton et au choix des mots en ligne.</w:t>
            </w:r>
          </w:p>
        </w:tc>
      </w:tr>
      <w:tr>
        <w:tc>
          <w:tcPr>
            <w:tcW w:type="dxa" w:w="2880"/>
          </w:tcPr>
          <w:p>
            <w:r>
              <w:t>Écriture – Intention et public cible</w:t>
            </w:r>
          </w:p>
        </w:tc>
        <w:tc>
          <w:tcPr>
            <w:tcW w:type="dxa" w:w="2880"/>
          </w:tcPr>
          <w:p>
            <w:r>
              <w:t>Message « réfléchir avant de publier »</w:t>
            </w:r>
          </w:p>
        </w:tc>
        <w:tc>
          <w:tcPr>
            <w:tcW w:type="dxa" w:w="2880"/>
          </w:tcPr>
          <w:p>
            <w:r>
              <w:t>Favorise une écriture réfléchie et responsable.</w:t>
            </w:r>
          </w:p>
        </w:tc>
      </w:tr>
      <w:tr>
        <w:tc>
          <w:tcPr>
            <w:tcW w:type="dxa" w:w="2880"/>
          </w:tcPr>
          <w:p>
            <w:r>
              <w:t>Littératie médiatique – Analyse des messages numériques</w:t>
            </w:r>
          </w:p>
        </w:tc>
        <w:tc>
          <w:tcPr>
            <w:tcW w:type="dxa" w:w="2880"/>
          </w:tcPr>
          <w:p>
            <w:r>
              <w:t>Exemples d’interactions en ligne</w:t>
            </w:r>
          </w:p>
        </w:tc>
        <w:tc>
          <w:tcPr>
            <w:tcW w:type="dxa" w:w="2880"/>
          </w:tcPr>
          <w:p>
            <w:r>
              <w:t>Les élèves analysent l’impact des messages numériques.</w:t>
            </w:r>
          </w:p>
        </w:tc>
      </w:tr>
    </w:tbl>
    <w:p>
      <w:pPr>
        <w:pStyle w:val="Heading1"/>
      </w:pPr>
      <w:r>
        <w:t>Sciences et technologie</w:t>
      </w:r>
    </w:p>
    <w:tbl>
      <w:tblPr>
        <w:tblStyle w:val="TableGrid"/>
        <w:tblW w:type="auto" w:w="0"/>
        <w:tblLook w:firstColumn="1" w:firstRow="1" w:lastColumn="0" w:lastRow="0" w:noHBand="0" w:noVBand="1" w:val="04A0"/>
      </w:tblPr>
      <w:tblGrid>
        <w:gridCol w:w="2880"/>
        <w:gridCol w:w="2880"/>
        <w:gridCol w:w="2880"/>
      </w:tblGrid>
      <w:tr>
        <w:tc>
          <w:tcPr>
            <w:tcW w:type="dxa" w:w="2880"/>
          </w:tcPr>
          <w:p>
            <w:r>
              <w:t>Attente du curriculum</w:t>
            </w:r>
          </w:p>
        </w:tc>
        <w:tc>
          <w:tcPr>
            <w:tcW w:type="dxa" w:w="2880"/>
          </w:tcPr>
          <w:p>
            <w:r>
              <w:t>Segment de la vidéo</w:t>
            </w:r>
          </w:p>
        </w:tc>
        <w:tc>
          <w:tcPr>
            <w:tcW w:type="dxa" w:w="2880"/>
          </w:tcPr>
          <w:p>
            <w:r>
              <w:t>Lien avec l’apprentissage</w:t>
            </w:r>
          </w:p>
        </w:tc>
      </w:tr>
      <w:tr>
        <w:tc>
          <w:tcPr>
            <w:tcW w:type="dxa" w:w="2880"/>
          </w:tcPr>
          <w:p>
            <w:r>
              <w:t>Technologie et société</w:t>
            </w:r>
          </w:p>
        </w:tc>
        <w:tc>
          <w:tcPr>
            <w:tcW w:type="dxa" w:w="2880"/>
          </w:tcPr>
          <w:p>
            <w:r>
              <w:t>Discussion sur les effets durables des publications en ligne</w:t>
            </w:r>
          </w:p>
        </w:tc>
        <w:tc>
          <w:tcPr>
            <w:tcW w:type="dxa" w:w="2880"/>
          </w:tcPr>
          <w:p>
            <w:r>
              <w:t>Compréhension de l’influence des technologies sur la société.</w:t>
            </w:r>
          </w:p>
        </w:tc>
      </w:tr>
      <w:tr>
        <w:tc>
          <w:tcPr>
            <w:tcW w:type="dxa" w:w="2880"/>
          </w:tcPr>
          <w:p>
            <w:r>
              <w:t>Utilisation responsable des technologies</w:t>
            </w:r>
          </w:p>
        </w:tc>
        <w:tc>
          <w:tcPr>
            <w:tcW w:type="dxa" w:w="2880"/>
          </w:tcPr>
          <w:p>
            <w:r>
              <w:t>Conseils sur le signalement et la prévention du harcèlement</w:t>
            </w:r>
          </w:p>
        </w:tc>
        <w:tc>
          <w:tcPr>
            <w:tcW w:type="dxa" w:w="2880"/>
          </w:tcPr>
          <w:p>
            <w:r>
              <w:t>Encourage une utilisation éthique et sécuritaire des outils numériques.</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