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Document de corrélation avec le curriculum</w:t>
      </w:r>
    </w:p>
    <w:p>
      <w:pPr>
        <w:pStyle w:val="Heading1"/>
      </w:pPr>
      <w:r>
        <w:t>Temps d’écran, exercices d’incendie et bonnes habitudes!</w:t>
      </w:r>
    </w:p>
    <w:p>
      <w:r>
        <w:t>Corrélation avec le curriculum de l’Ontario – Français (Québec)</w:t>
      </w:r>
    </w:p>
    <w:p>
      <w:r>
        <w:t>Niveaux ciblés : Maternelle à 2e année</w:t>
      </w:r>
    </w:p>
    <w:p>
      <w:r>
        <w:br w:type="page"/>
      </w:r>
    </w:p>
    <w:p>
      <w:pPr>
        <w:pStyle w:val="Heading1"/>
      </w:pPr>
      <w:r>
        <w:t>Objectif du document</w:t>
      </w:r>
    </w:p>
    <w:p>
      <w:r>
        <w:t>Ce document présente les liens entre la vidéo éducative « Temps d’écran, exercices d’incendie et bonnes habitudes! » et le curriculum de l’Ontario.</w:t>
      </w:r>
    </w:p>
    <w:p>
      <w:r>
        <w:br w:type="page"/>
      </w:r>
    </w:p>
    <w:p>
      <w:pPr>
        <w:pStyle w:val="Heading1"/>
      </w:pPr>
      <w:r>
        <w:t>Référence des segments de la vidéo</w:t>
      </w:r>
    </w:p>
    <w:p>
      <w:r>
        <w:t>S1 – Exercice d’incendie et évacuation</w:t>
        <w:br/>
        <w:t>S2 – Faire attention en marchant (écrans)</w:t>
        <w:br/>
        <w:t>S3 – Limiter le temps d’écran</w:t>
        <w:br/>
        <w:t>S4 – Recycler et protéger l’environnement</w:t>
        <w:br/>
        <w:t>S5 – Aider à la maison et suivre les règles</w:t>
        <w:br/>
        <w:t>S6 – Adopter de bonnes habitudes sécuritaires</w:t>
      </w:r>
    </w:p>
    <w:p>
      <w:r>
        <w:br w:type="page"/>
      </w:r>
    </w:p>
    <w:p>
      <w:pPr>
        <w:pStyle w:val="Heading1"/>
      </w:pPr>
      <w:r>
        <w:t>Éducation physique et santé (EPS)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Niveau / Volet</w:t>
            </w:r>
          </w:p>
        </w:tc>
        <w:tc>
          <w:tcPr>
            <w:tcW w:type="dxa" w:w="2160"/>
          </w:tcPr>
          <w:p>
            <w:r>
              <w:t>Attente du curriculum</w:t>
            </w:r>
          </w:p>
        </w:tc>
        <w:tc>
          <w:tcPr>
            <w:tcW w:type="dxa" w:w="2160"/>
          </w:tcPr>
          <w:p>
            <w:r>
              <w:t>Segment(s)</w:t>
            </w:r>
          </w:p>
        </w:tc>
        <w:tc>
          <w:tcPr>
            <w:tcW w:type="dxa" w:w="2160"/>
          </w:tcPr>
          <w:p>
            <w:r>
              <w:t>Lien pédagogique</w:t>
            </w:r>
          </w:p>
        </w:tc>
      </w:tr>
      <w:tr>
        <w:tc>
          <w:tcPr>
            <w:tcW w:type="dxa" w:w="2160"/>
          </w:tcPr>
          <w:p>
            <w:r>
              <w:t>M–2e, Sécurité personnelle</w:t>
            </w:r>
          </w:p>
        </w:tc>
        <w:tc>
          <w:tcPr>
            <w:tcW w:type="dxa" w:w="2160"/>
          </w:tcPr>
          <w:p>
            <w:r>
              <w:t>Reconnaître et appliquer les règles de sécurité</w:t>
            </w:r>
          </w:p>
        </w:tc>
        <w:tc>
          <w:tcPr>
            <w:tcW w:type="dxa" w:w="2160"/>
          </w:tcPr>
          <w:p>
            <w:r>
              <w:t>S1, S2</w:t>
            </w:r>
          </w:p>
        </w:tc>
        <w:tc>
          <w:tcPr>
            <w:tcW w:type="dxa" w:w="2160"/>
          </w:tcPr>
          <w:p>
            <w:r>
              <w:t>Procédures d’évacuation et attention en déplacement.</w:t>
            </w:r>
          </w:p>
        </w:tc>
      </w:tr>
      <w:tr>
        <w:tc>
          <w:tcPr>
            <w:tcW w:type="dxa" w:w="2160"/>
          </w:tcPr>
          <w:p>
            <w:r>
              <w:t>M–2e, Vie saine</w:t>
            </w:r>
          </w:p>
        </w:tc>
        <w:tc>
          <w:tcPr>
            <w:tcW w:type="dxa" w:w="2160"/>
          </w:tcPr>
          <w:p>
            <w:r>
              <w:t>Développer l’autorégulation et de saines habitudes</w:t>
            </w:r>
          </w:p>
        </w:tc>
        <w:tc>
          <w:tcPr>
            <w:tcW w:type="dxa" w:w="2160"/>
          </w:tcPr>
          <w:p>
            <w:r>
              <w:t>S3, S6</w:t>
            </w:r>
          </w:p>
        </w:tc>
        <w:tc>
          <w:tcPr>
            <w:tcW w:type="dxa" w:w="2160"/>
          </w:tcPr>
          <w:p>
            <w:r>
              <w:t>Temps d’écran équilibré.</w:t>
            </w:r>
          </w:p>
        </w:tc>
      </w:tr>
      <w:tr>
        <w:tc>
          <w:tcPr>
            <w:tcW w:type="dxa" w:w="2160"/>
          </w:tcPr>
          <w:p>
            <w:r>
              <w:t>M–2e, Compétences sociales</w:t>
            </w:r>
          </w:p>
        </w:tc>
        <w:tc>
          <w:tcPr>
            <w:tcW w:type="dxa" w:w="2160"/>
          </w:tcPr>
          <w:p>
            <w:r>
              <w:t>Respecter les règles et coopérer</w:t>
            </w:r>
          </w:p>
        </w:tc>
        <w:tc>
          <w:tcPr>
            <w:tcW w:type="dxa" w:w="2160"/>
          </w:tcPr>
          <w:p>
            <w:r>
              <w:t>S5, S6</w:t>
            </w:r>
          </w:p>
        </w:tc>
        <w:tc>
          <w:tcPr>
            <w:tcW w:type="dxa" w:w="2160"/>
          </w:tcPr>
          <w:p>
            <w:r>
              <w:t>Responsabilité et entraide.</w:t>
            </w:r>
          </w:p>
        </w:tc>
      </w:tr>
    </w:tbl>
    <w:p>
      <w:r>
        <w:br w:type="page"/>
      </w:r>
    </w:p>
    <w:p>
      <w:pPr>
        <w:pStyle w:val="Heading1"/>
      </w:pPr>
      <w:r>
        <w:t>Français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Niveau / Domaine</w:t>
            </w:r>
          </w:p>
        </w:tc>
        <w:tc>
          <w:tcPr>
            <w:tcW w:type="dxa" w:w="2160"/>
          </w:tcPr>
          <w:p>
            <w:r>
              <w:t>Attente du curriculum</w:t>
            </w:r>
          </w:p>
        </w:tc>
        <w:tc>
          <w:tcPr>
            <w:tcW w:type="dxa" w:w="2160"/>
          </w:tcPr>
          <w:p>
            <w:r>
              <w:t>Segment(s)</w:t>
            </w:r>
          </w:p>
        </w:tc>
        <w:tc>
          <w:tcPr>
            <w:tcW w:type="dxa" w:w="2160"/>
          </w:tcPr>
          <w:p>
            <w:r>
              <w:t>Lien pédagogique</w:t>
            </w:r>
          </w:p>
        </w:tc>
      </w:tr>
      <w:tr>
        <w:tc>
          <w:tcPr>
            <w:tcW w:type="dxa" w:w="2160"/>
          </w:tcPr>
          <w:p>
            <w:r>
              <w:t>M–2e, Communication orale</w:t>
            </w:r>
          </w:p>
        </w:tc>
        <w:tc>
          <w:tcPr>
            <w:tcW w:type="dxa" w:w="2160"/>
          </w:tcPr>
          <w:p>
            <w:r>
              <w:t>Écouter et comprendre un message</w:t>
            </w:r>
          </w:p>
        </w:tc>
        <w:tc>
          <w:tcPr>
            <w:tcW w:type="dxa" w:w="2160"/>
          </w:tcPr>
          <w:p>
            <w:r>
              <w:t>S1–S6</w:t>
            </w:r>
          </w:p>
        </w:tc>
        <w:tc>
          <w:tcPr>
            <w:tcW w:type="dxa" w:w="2160"/>
          </w:tcPr>
          <w:p>
            <w:r>
              <w:t>Compréhension et discussion des messages.</w:t>
            </w:r>
          </w:p>
        </w:tc>
      </w:tr>
      <w:tr>
        <w:tc>
          <w:tcPr>
            <w:tcW w:type="dxa" w:w="2160"/>
          </w:tcPr>
          <w:p>
            <w:r>
              <w:t>M–2e, Littératie médiatique</w:t>
            </w:r>
          </w:p>
        </w:tc>
        <w:tc>
          <w:tcPr>
            <w:tcW w:type="dxa" w:w="2160"/>
          </w:tcPr>
          <w:p>
            <w:r>
              <w:t>Identifier les messages médiatiques</w:t>
            </w:r>
          </w:p>
        </w:tc>
        <w:tc>
          <w:tcPr>
            <w:tcW w:type="dxa" w:w="2160"/>
          </w:tcPr>
          <w:p>
            <w:r>
              <w:t>S3, S6</w:t>
            </w:r>
          </w:p>
        </w:tc>
        <w:tc>
          <w:tcPr>
            <w:tcW w:type="dxa" w:w="2160"/>
          </w:tcPr>
          <w:p>
            <w:r>
              <w:t>Messages sur les habitudes et le temps d’écran.</w:t>
            </w:r>
          </w:p>
        </w:tc>
      </w:tr>
      <w:tr>
        <w:tc>
          <w:tcPr>
            <w:tcW w:type="dxa" w:w="2160"/>
          </w:tcPr>
          <w:p>
            <w:r>
              <w:t>M–2e, Compréhension</w:t>
            </w:r>
          </w:p>
        </w:tc>
        <w:tc>
          <w:tcPr>
            <w:tcW w:type="dxa" w:w="2160"/>
          </w:tcPr>
          <w:p>
            <w:r>
              <w:t>Démontrer la compréhension d’un récit</w:t>
            </w:r>
          </w:p>
        </w:tc>
        <w:tc>
          <w:tcPr>
            <w:tcW w:type="dxa" w:w="2160"/>
          </w:tcPr>
          <w:p>
            <w:r>
              <w:t>S1–S6</w:t>
            </w:r>
          </w:p>
        </w:tc>
        <w:tc>
          <w:tcPr>
            <w:tcW w:type="dxa" w:w="2160"/>
          </w:tcPr>
          <w:p>
            <w:r>
              <w:t>Raconter et expliquer les événements.</w:t>
            </w:r>
          </w:p>
        </w:tc>
      </w:tr>
    </w:tbl>
    <w:p>
      <w:r>
        <w:br w:type="page"/>
      </w:r>
    </w:p>
    <w:p>
      <w:pPr>
        <w:pStyle w:val="Heading1"/>
      </w:pPr>
      <w:r>
        <w:t>Sciences et technologie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Niveau / Volet</w:t>
            </w:r>
          </w:p>
        </w:tc>
        <w:tc>
          <w:tcPr>
            <w:tcW w:type="dxa" w:w="2160"/>
          </w:tcPr>
          <w:p>
            <w:r>
              <w:t>Attente du curriculum</w:t>
            </w:r>
          </w:p>
        </w:tc>
        <w:tc>
          <w:tcPr>
            <w:tcW w:type="dxa" w:w="2160"/>
          </w:tcPr>
          <w:p>
            <w:r>
              <w:t>Segment(s)</w:t>
            </w:r>
          </w:p>
        </w:tc>
        <w:tc>
          <w:tcPr>
            <w:tcW w:type="dxa" w:w="2160"/>
          </w:tcPr>
          <w:p>
            <w:r>
              <w:t>Lien pédagogique</w:t>
            </w:r>
          </w:p>
        </w:tc>
      </w:tr>
      <w:tr>
        <w:tc>
          <w:tcPr>
            <w:tcW w:type="dxa" w:w="2160"/>
          </w:tcPr>
          <w:p>
            <w:r>
              <w:t>M–2e, Systèmes et structures</w:t>
            </w:r>
          </w:p>
        </w:tc>
        <w:tc>
          <w:tcPr>
            <w:tcW w:type="dxa" w:w="2160"/>
          </w:tcPr>
          <w:p>
            <w:r>
              <w:t>Reconnaître les systèmes de sécurité</w:t>
            </w:r>
          </w:p>
        </w:tc>
        <w:tc>
          <w:tcPr>
            <w:tcW w:type="dxa" w:w="2160"/>
          </w:tcPr>
          <w:p>
            <w:r>
              <w:t>S1</w:t>
            </w:r>
          </w:p>
        </w:tc>
        <w:tc>
          <w:tcPr>
            <w:tcW w:type="dxa" w:w="2160"/>
          </w:tcPr>
          <w:p>
            <w:r>
              <w:t>Alarme de fumée et évacuation.</w:t>
            </w:r>
          </w:p>
        </w:tc>
      </w:tr>
      <w:tr>
        <w:tc>
          <w:tcPr>
            <w:tcW w:type="dxa" w:w="2160"/>
          </w:tcPr>
          <w:p>
            <w:r>
              <w:t>M–2e, Environnement</w:t>
            </w:r>
          </w:p>
        </w:tc>
        <w:tc>
          <w:tcPr>
            <w:tcW w:type="dxa" w:w="2160"/>
          </w:tcPr>
          <w:p>
            <w:r>
              <w:t>Adopter des comportements écoresponsables</w:t>
            </w:r>
          </w:p>
        </w:tc>
        <w:tc>
          <w:tcPr>
            <w:tcW w:type="dxa" w:w="2160"/>
          </w:tcPr>
          <w:p>
            <w:r>
              <w:t>S4</w:t>
            </w:r>
          </w:p>
        </w:tc>
        <w:tc>
          <w:tcPr>
            <w:tcW w:type="dxa" w:w="2160"/>
          </w:tcPr>
          <w:p>
            <w:r>
              <w:t>Recyclage et protection de l’environnement.</w:t>
            </w:r>
          </w:p>
        </w:tc>
      </w:tr>
      <w:tr>
        <w:tc>
          <w:tcPr>
            <w:tcW w:type="dxa" w:w="2160"/>
          </w:tcPr>
          <w:p>
            <w:r>
              <w:t>M–2e, Technologie au quotidien</w:t>
            </w:r>
          </w:p>
        </w:tc>
        <w:tc>
          <w:tcPr>
            <w:tcW w:type="dxa" w:w="2160"/>
          </w:tcPr>
          <w:p>
            <w:r>
              <w:t>Comprendre l’impact de la technologie</w:t>
            </w:r>
          </w:p>
        </w:tc>
        <w:tc>
          <w:tcPr>
            <w:tcW w:type="dxa" w:w="2160"/>
          </w:tcPr>
          <w:p>
            <w:r>
              <w:t>S2, S3</w:t>
            </w:r>
          </w:p>
        </w:tc>
        <w:tc>
          <w:tcPr>
            <w:tcW w:type="dxa" w:w="2160"/>
          </w:tcPr>
          <w:p>
            <w:r>
              <w:t>Influence des écrans sur l’attention et la sécurité.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