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Curriculum Correlation Document</w:t>
      </w:r>
    </w:p>
    <w:p>
      <w:pPr>
        <w:pStyle w:val="Heading1"/>
      </w:pPr>
      <w:r>
        <w:t>Being a Good Digital Citizen: Respecting Others Online</w:t>
      </w:r>
    </w:p>
    <w:p>
      <w:r>
        <w:t>Ontario Curriculum Correlation – English</w:t>
      </w:r>
    </w:p>
    <w:p>
      <w:r>
        <w:br w:type="page"/>
      </w:r>
    </w:p>
    <w:p>
      <w:pPr>
        <w:pStyle w:val="Heading1"/>
      </w:pPr>
      <w:r>
        <w:t>Purpose of This Document</w:t>
      </w:r>
    </w:p>
    <w:p>
      <w:r>
        <w:t>This document outlines explicit correlations between the educational video “Being a Good Digital Citizen: Respecting Others Online” and the Ontario Curriculum. The correlations focus on Health and Physical Education (HPE), Language, and Science and Technology, demonstrating how the video supports curriculum expectations related to digital citizenship, online safety, communication, and social-emotional learning.</w:t>
      </w:r>
    </w:p>
    <w:p>
      <w:r>
        <w:br w:type="page"/>
      </w:r>
    </w:p>
    <w:p>
      <w:pPr>
        <w:pStyle w:val="Heading1"/>
      </w:pPr>
      <w:r>
        <w:t>Health and Physical Education (HPE)</w:t>
      </w:r>
    </w:p>
    <w:tbl>
      <w:tblPr>
        <w:tblStyle w:val="TableGrid"/>
        <w:tblW w:type="auto" w:w="0"/>
        <w:tblLook w:firstColumn="1" w:firstRow="1" w:lastColumn="0" w:lastRow="0" w:noHBand="0" w:noVBand="1" w:val="04A0"/>
      </w:tblPr>
      <w:tblGrid>
        <w:gridCol w:w="2880"/>
        <w:gridCol w:w="2880"/>
        <w:gridCol w:w="2880"/>
      </w:tblGrid>
      <w:tr>
        <w:tc>
          <w:tcPr>
            <w:tcW w:type="dxa" w:w="2880"/>
          </w:tcPr>
          <w:p>
            <w:r>
              <w:t>Ontario Curriculum Expectation</w:t>
            </w:r>
          </w:p>
        </w:tc>
        <w:tc>
          <w:tcPr>
            <w:tcW w:type="dxa" w:w="2880"/>
          </w:tcPr>
          <w:p>
            <w:r>
              <w:t>Video Segment</w:t>
            </w:r>
          </w:p>
        </w:tc>
        <w:tc>
          <w:tcPr>
            <w:tcW w:type="dxa" w:w="2880"/>
          </w:tcPr>
          <w:p>
            <w:r>
              <w:t>Curriculum Connection</w:t>
            </w:r>
          </w:p>
        </w:tc>
      </w:tr>
      <w:tr>
        <w:tc>
          <w:tcPr>
            <w:tcW w:type="dxa" w:w="2880"/>
          </w:tcPr>
          <w:p>
            <w:r>
              <w:t>Social-Emotional Learning Skills – Respect, Empathy, and Responsibility</w:t>
            </w:r>
          </w:p>
        </w:tc>
        <w:tc>
          <w:tcPr>
            <w:tcW w:type="dxa" w:w="2880"/>
          </w:tcPr>
          <w:p>
            <w:r>
              <w:t>Explanation of treating others with respect and empathy online</w:t>
            </w:r>
          </w:p>
        </w:tc>
        <w:tc>
          <w:tcPr>
            <w:tcW w:type="dxa" w:w="2880"/>
          </w:tcPr>
          <w:p>
            <w:r>
              <w:t>Students learn how respectful online behaviour supports emotional well-being and healthy relationships.</w:t>
            </w:r>
          </w:p>
        </w:tc>
      </w:tr>
      <w:tr>
        <w:tc>
          <w:tcPr>
            <w:tcW w:type="dxa" w:w="2880"/>
          </w:tcPr>
          <w:p>
            <w:r>
              <w:t>Personal Safety and Injury Prevention – Online Safety</w:t>
            </w:r>
          </w:p>
        </w:tc>
        <w:tc>
          <w:tcPr>
            <w:tcW w:type="dxa" w:w="2880"/>
          </w:tcPr>
          <w:p>
            <w:r>
              <w:t>Discussion of cyberbullying, harassment, and seeking help</w:t>
            </w:r>
          </w:p>
        </w:tc>
        <w:tc>
          <w:tcPr>
            <w:tcW w:type="dxa" w:w="2880"/>
          </w:tcPr>
          <w:p>
            <w:r>
              <w:t>The video supports recognizing online risks and identifying trusted adults and reporting tools.</w:t>
            </w:r>
          </w:p>
        </w:tc>
      </w:tr>
    </w:tbl>
    <w:p>
      <w:pPr>
        <w:pStyle w:val="Heading1"/>
      </w:pPr>
      <w:r>
        <w:t>Language Curriculum</w:t>
      </w:r>
    </w:p>
    <w:tbl>
      <w:tblPr>
        <w:tblStyle w:val="TableGrid"/>
        <w:tblW w:type="auto" w:w="0"/>
        <w:tblLook w:firstColumn="1" w:firstRow="1" w:lastColumn="0" w:lastRow="0" w:noHBand="0" w:noVBand="1" w:val="04A0"/>
      </w:tblPr>
      <w:tblGrid>
        <w:gridCol w:w="2880"/>
        <w:gridCol w:w="2880"/>
        <w:gridCol w:w="2880"/>
      </w:tblGrid>
      <w:tr>
        <w:tc>
          <w:tcPr>
            <w:tcW w:type="dxa" w:w="2880"/>
          </w:tcPr>
          <w:p>
            <w:r>
              <w:t>Ontario Curriculum Expectation</w:t>
            </w:r>
          </w:p>
        </w:tc>
        <w:tc>
          <w:tcPr>
            <w:tcW w:type="dxa" w:w="2880"/>
          </w:tcPr>
          <w:p>
            <w:r>
              <w:t>Video Segment</w:t>
            </w:r>
          </w:p>
        </w:tc>
        <w:tc>
          <w:tcPr>
            <w:tcW w:type="dxa" w:w="2880"/>
          </w:tcPr>
          <w:p>
            <w:r>
              <w:t>Curriculum Connection</w:t>
            </w:r>
          </w:p>
        </w:tc>
      </w:tr>
      <w:tr>
        <w:tc>
          <w:tcPr>
            <w:tcW w:type="dxa" w:w="2880"/>
          </w:tcPr>
          <w:p>
            <w:r>
              <w:t>Oral Communication – Listening and Speaking for Different Audiences</w:t>
            </w:r>
          </w:p>
        </w:tc>
        <w:tc>
          <w:tcPr>
            <w:tcW w:type="dxa" w:w="2880"/>
          </w:tcPr>
          <w:p>
            <w:r>
              <w:t>Advice on speaking up and responding to online harassment</w:t>
            </w:r>
          </w:p>
        </w:tc>
        <w:tc>
          <w:tcPr>
            <w:tcW w:type="dxa" w:w="2880"/>
          </w:tcPr>
          <w:p>
            <w:r>
              <w:t>Students examine appropriate language and tone when communicating in digital spaces.</w:t>
            </w:r>
          </w:p>
        </w:tc>
      </w:tr>
      <w:tr>
        <w:tc>
          <w:tcPr>
            <w:tcW w:type="dxa" w:w="2880"/>
          </w:tcPr>
          <w:p>
            <w:r>
              <w:t>Writing – Purpose, Audience, and Clarity</w:t>
            </w:r>
          </w:p>
        </w:tc>
        <w:tc>
          <w:tcPr>
            <w:tcW w:type="dxa" w:w="2880"/>
          </w:tcPr>
          <w:p>
            <w:r>
              <w:t>‘Think before you post’ messaging</w:t>
            </w:r>
          </w:p>
        </w:tc>
        <w:tc>
          <w:tcPr>
            <w:tcW w:type="dxa" w:w="2880"/>
          </w:tcPr>
          <w:p>
            <w:r>
              <w:t>Reinforces purposeful communication and awareness of audience in online writing.</w:t>
            </w:r>
          </w:p>
        </w:tc>
      </w:tr>
      <w:tr>
        <w:tc>
          <w:tcPr>
            <w:tcW w:type="dxa" w:w="2880"/>
          </w:tcPr>
          <w:p>
            <w:r>
              <w:t>Media Literacy – Digital Texts and Online Messages</w:t>
            </w:r>
          </w:p>
        </w:tc>
        <w:tc>
          <w:tcPr>
            <w:tcW w:type="dxa" w:w="2880"/>
          </w:tcPr>
          <w:p>
            <w:r>
              <w:t>Examples of posts, comments, and online interactions</w:t>
            </w:r>
          </w:p>
        </w:tc>
        <w:tc>
          <w:tcPr>
            <w:tcW w:type="dxa" w:w="2880"/>
          </w:tcPr>
          <w:p>
            <w:r>
              <w:t>Students analyze how digital messages can impact others and spread widely.</w:t>
            </w:r>
          </w:p>
        </w:tc>
      </w:tr>
    </w:tbl>
    <w:p>
      <w:pPr>
        <w:pStyle w:val="Heading1"/>
      </w:pPr>
      <w:r>
        <w:t>Science and Technology</w:t>
      </w:r>
    </w:p>
    <w:tbl>
      <w:tblPr>
        <w:tblStyle w:val="TableGrid"/>
        <w:tblW w:type="auto" w:w="0"/>
        <w:tblLook w:firstColumn="1" w:firstRow="1" w:lastColumn="0" w:lastRow="0" w:noHBand="0" w:noVBand="1" w:val="04A0"/>
      </w:tblPr>
      <w:tblGrid>
        <w:gridCol w:w="2880"/>
        <w:gridCol w:w="2880"/>
        <w:gridCol w:w="2880"/>
      </w:tblGrid>
      <w:tr>
        <w:tc>
          <w:tcPr>
            <w:tcW w:type="dxa" w:w="2880"/>
          </w:tcPr>
          <w:p>
            <w:r>
              <w:t>Ontario Curriculum Expectation</w:t>
            </w:r>
          </w:p>
        </w:tc>
        <w:tc>
          <w:tcPr>
            <w:tcW w:type="dxa" w:w="2880"/>
          </w:tcPr>
          <w:p>
            <w:r>
              <w:t>Video Segment</w:t>
            </w:r>
          </w:p>
        </w:tc>
        <w:tc>
          <w:tcPr>
            <w:tcW w:type="dxa" w:w="2880"/>
          </w:tcPr>
          <w:p>
            <w:r>
              <w:t>Curriculum Connection</w:t>
            </w:r>
          </w:p>
        </w:tc>
      </w:tr>
      <w:tr>
        <w:tc>
          <w:tcPr>
            <w:tcW w:type="dxa" w:w="2880"/>
          </w:tcPr>
          <w:p>
            <w:r>
              <w:t>Technology and Society – Impact of Digital Tools</w:t>
            </w:r>
          </w:p>
        </w:tc>
        <w:tc>
          <w:tcPr>
            <w:tcW w:type="dxa" w:w="2880"/>
          </w:tcPr>
          <w:p>
            <w:r>
              <w:t>Discussion of lasting impact of online posts and messages</w:t>
            </w:r>
          </w:p>
        </w:tc>
        <w:tc>
          <w:tcPr>
            <w:tcW w:type="dxa" w:w="2880"/>
          </w:tcPr>
          <w:p>
            <w:r>
              <w:t>Students understand how technology influences social behaviour and mental health.</w:t>
            </w:r>
          </w:p>
        </w:tc>
      </w:tr>
      <w:tr>
        <w:tc>
          <w:tcPr>
            <w:tcW w:type="dxa" w:w="2880"/>
          </w:tcPr>
          <w:p>
            <w:r>
              <w:t>Responsible Use of Technology</w:t>
            </w:r>
          </w:p>
        </w:tc>
        <w:tc>
          <w:tcPr>
            <w:tcW w:type="dxa" w:w="2880"/>
          </w:tcPr>
          <w:p>
            <w:r>
              <w:t>Guidance on reporting tools and safe online behaviour</w:t>
            </w:r>
          </w:p>
        </w:tc>
        <w:tc>
          <w:tcPr>
            <w:tcW w:type="dxa" w:w="2880"/>
          </w:tcPr>
          <w:p>
            <w:r>
              <w:t>Encourages ethical and responsible interaction with digital platforms.</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