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pPr>
        <w:pStyle w:val="Heading1"/>
      </w:pPr>
      <w:r>
        <w:t>La nétiquette : éthique et respect en ligne</w:t>
      </w:r>
    </w:p>
    <w:p>
      <w:r>
        <w:t>Corrélation avec le curriculum de l’Ontario – Français (Québec)</w:t>
      </w:r>
    </w:p>
    <w:p>
      <w:r>
        <w:br w:type="page"/>
      </w:r>
    </w:p>
    <w:p>
      <w:pPr>
        <w:pStyle w:val="Heading1"/>
      </w:pPr>
      <w:r>
        <w:t>Objectif</w:t>
      </w:r>
    </w:p>
    <w:p>
      <w:r>
        <w:t>Ce document présente les liens entre la vidéo éducative « La nétiquette : éthique et respect en ligne » et le curriculum de l’Ontario.</w:t>
      </w:r>
    </w:p>
    <w:p>
      <w:r>
        <w:br w:type="page"/>
      </w:r>
    </w:p>
    <w:p>
      <w:pPr>
        <w:pStyle w:val="Heading1"/>
      </w:pPr>
      <w:r>
        <w:t>Référence des segments de la vidéo</w:t>
      </w:r>
    </w:p>
    <w:p>
      <w:r>
        <w:t>S1 – Respect et gentillesse en ligne</w:t>
        <w:br/>
        <w:t>S2 – Réfléchir avant de publier</w:t>
        <w:br/>
        <w:t>S3 – Empreinte numérique</w:t>
        <w:br/>
        <w:t>S4 – Vie privée et consentement</w:t>
        <w:br/>
        <w:t>S5 – Droit d’auteur et crédit</w:t>
        <w:br/>
        <w:t>S6 – Signalement et rôle de témoin</w:t>
      </w:r>
    </w:p>
    <w:p>
      <w:r>
        <w:br w:type="page"/>
      </w:r>
    </w:p>
    <w:p>
      <w:pPr>
        <w:pStyle w:val="Heading1"/>
      </w:pPr>
      <w:r>
        <w:t>Éducation physique et santé (EPS)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Volet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</w:t>
            </w:r>
          </w:p>
        </w:tc>
      </w:tr>
      <w:tr>
        <w:tc>
          <w:tcPr>
            <w:tcW w:type="dxa" w:w="2160"/>
          </w:tcPr>
          <w:p>
            <w:r>
              <w:t>6e–8e, Volet D</w:t>
            </w:r>
          </w:p>
        </w:tc>
        <w:tc>
          <w:tcPr>
            <w:tcW w:type="dxa" w:w="2160"/>
          </w:tcPr>
          <w:p>
            <w:r>
              <w:t>Compétences socioémotionnelles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Empathie et respect</w:t>
            </w:r>
          </w:p>
        </w:tc>
      </w:tr>
      <w:tr>
        <w:tc>
          <w:tcPr>
            <w:tcW w:type="dxa" w:w="2160"/>
          </w:tcPr>
          <w:p>
            <w:r>
              <w:t>6e–8e, Volet D</w:t>
            </w:r>
          </w:p>
        </w:tc>
        <w:tc>
          <w:tcPr>
            <w:tcW w:type="dxa" w:w="2160"/>
          </w:tcPr>
          <w:p>
            <w:r>
              <w:t>Sécurité personnelle</w:t>
            </w:r>
          </w:p>
        </w:tc>
        <w:tc>
          <w:tcPr>
            <w:tcW w:type="dxa" w:w="2160"/>
          </w:tcPr>
          <w:p>
            <w:r>
              <w:t>S3, S4, S6</w:t>
            </w:r>
          </w:p>
        </w:tc>
        <w:tc>
          <w:tcPr>
            <w:tcW w:type="dxa" w:w="2160"/>
          </w:tcPr>
          <w:p>
            <w:r>
              <w:t>Vie privée et aide</w:t>
            </w:r>
          </w:p>
        </w:tc>
      </w:tr>
      <w:tr>
        <w:tc>
          <w:tcPr>
            <w:tcW w:type="dxa" w:w="2160"/>
          </w:tcPr>
          <w:p>
            <w:r>
              <w:t>9e, Volet D</w:t>
            </w:r>
          </w:p>
        </w:tc>
        <w:tc>
          <w:tcPr>
            <w:tcW w:type="dxa" w:w="2160"/>
          </w:tcPr>
          <w:p>
            <w:r>
              <w:t>Responsabilité éthique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Choix responsables</w:t>
            </w:r>
          </w:p>
        </w:tc>
      </w:tr>
    </w:tbl>
    <w:p>
      <w:r>
        <w:br w:type="page"/>
      </w:r>
    </w:p>
    <w:p>
      <w:pPr>
        <w:pStyle w:val="Heading1"/>
      </w:pPr>
      <w:r>
        <w:t>Français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Domaine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</w:t>
            </w:r>
          </w:p>
        </w:tc>
      </w:tr>
      <w:tr>
        <w:tc>
          <w:tcPr>
            <w:tcW w:type="dxa" w:w="2160"/>
          </w:tcPr>
          <w:p>
            <w:r>
              <w:t>6e–8e Écriture</w:t>
            </w:r>
          </w:p>
        </w:tc>
        <w:tc>
          <w:tcPr>
            <w:tcW w:type="dxa" w:w="2160"/>
          </w:tcPr>
          <w:p>
            <w:r>
              <w:t>Intention, public, ton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Choix du langage</w:t>
            </w:r>
          </w:p>
        </w:tc>
      </w:tr>
      <w:tr>
        <w:tc>
          <w:tcPr>
            <w:tcW w:type="dxa" w:w="2160"/>
          </w:tcPr>
          <w:p>
            <w:r>
              <w:t>6e–9e Écriture</w:t>
            </w:r>
          </w:p>
        </w:tc>
        <w:tc>
          <w:tcPr>
            <w:tcW w:type="dxa" w:w="2160"/>
          </w:tcPr>
          <w:p>
            <w:r>
              <w:t>Conventions et clarté</w:t>
            </w:r>
          </w:p>
        </w:tc>
        <w:tc>
          <w:tcPr>
            <w:tcW w:type="dxa" w:w="2160"/>
          </w:tcPr>
          <w:p>
            <w:r>
              <w:t>S2</w:t>
            </w:r>
          </w:p>
        </w:tc>
        <w:tc>
          <w:tcPr>
            <w:tcW w:type="dxa" w:w="2160"/>
          </w:tcPr>
          <w:p>
            <w:r>
              <w:t>Communication claire</w:t>
            </w:r>
          </w:p>
        </w:tc>
      </w:tr>
      <w:tr>
        <w:tc>
          <w:tcPr>
            <w:tcW w:type="dxa" w:w="2160"/>
          </w:tcPr>
          <w:p>
            <w:r>
              <w:t>6e–9e Médias</w:t>
            </w:r>
          </w:p>
        </w:tc>
        <w:tc>
          <w:tcPr>
            <w:tcW w:type="dxa" w:w="2160"/>
          </w:tcPr>
          <w:p>
            <w:r>
              <w:t>Analyse des messages</w:t>
            </w:r>
          </w:p>
        </w:tc>
        <w:tc>
          <w:tcPr>
            <w:tcW w:type="dxa" w:w="2160"/>
          </w:tcPr>
          <w:p>
            <w:r>
              <w:t>S3, S4, S6</w:t>
            </w:r>
          </w:p>
        </w:tc>
        <w:tc>
          <w:tcPr>
            <w:tcW w:type="dxa" w:w="2160"/>
          </w:tcPr>
          <w:p>
            <w:r>
              <w:t>Comprendre la diffusion</w:t>
            </w:r>
          </w:p>
        </w:tc>
      </w:tr>
    </w:tbl>
    <w:p>
      <w:r>
        <w:br w:type="page"/>
      </w:r>
    </w:p>
    <w:p>
      <w:pPr>
        <w:pStyle w:val="Heading1"/>
      </w:pPr>
      <w:r>
        <w:t>Sciences et technologie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Volet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</w:t>
            </w:r>
          </w:p>
        </w:tc>
      </w:tr>
      <w:tr>
        <w:tc>
          <w:tcPr>
            <w:tcW w:type="dxa" w:w="2160"/>
          </w:tcPr>
          <w:p>
            <w:r>
              <w:t>6e–8e STSE</w:t>
            </w:r>
          </w:p>
        </w:tc>
        <w:tc>
          <w:tcPr>
            <w:tcW w:type="dxa" w:w="2160"/>
          </w:tcPr>
          <w:p>
            <w:r>
              <w:t>Technologie et société</w:t>
            </w:r>
          </w:p>
        </w:tc>
        <w:tc>
          <w:tcPr>
            <w:tcW w:type="dxa" w:w="2160"/>
          </w:tcPr>
          <w:p>
            <w:r>
              <w:t>S1–S4</w:t>
            </w:r>
          </w:p>
        </w:tc>
        <w:tc>
          <w:tcPr>
            <w:tcW w:type="dxa" w:w="2160"/>
          </w:tcPr>
          <w:p>
            <w:r>
              <w:t>Influence des technologies</w:t>
            </w:r>
          </w:p>
        </w:tc>
      </w:tr>
      <w:tr>
        <w:tc>
          <w:tcPr>
            <w:tcW w:type="dxa" w:w="2160"/>
          </w:tcPr>
          <w:p>
            <w:r>
              <w:t>9e STSE</w:t>
            </w:r>
          </w:p>
        </w:tc>
        <w:tc>
          <w:tcPr>
            <w:tcW w:type="dxa" w:w="2160"/>
          </w:tcPr>
          <w:p>
            <w:r>
              <w:t>Enjeux éthiques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Utilisation responsable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