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3217D41" w:rsidR="00870037" w:rsidRPr="00D6177B" w:rsidRDefault="00870037">
            <w:pPr>
              <w:rPr>
                <w:b/>
                <w:bCs/>
              </w:rPr>
            </w:pPr>
          </w:p>
        </w:tc>
      </w:tr>
      <w:tr w:rsidR="00870037" w14:paraId="0225E166" w14:textId="77777777" w:rsidTr="00E81C13">
        <w:tc>
          <w:tcPr>
            <w:tcW w:w="3116" w:type="dxa"/>
          </w:tcPr>
          <w:p w14:paraId="28650166" w14:textId="74BEF3AD" w:rsidR="006A7D36" w:rsidRDefault="00D238F1">
            <w:r>
              <w:t xml:space="preserve">Stephen </w:t>
            </w:r>
            <w:proofErr w:type="spellStart"/>
            <w:r>
              <w:t>Oickle</w:t>
            </w:r>
            <w:proofErr w:type="spellEnd"/>
          </w:p>
          <w:p w14:paraId="6FC8777D" w14:textId="499AE89F" w:rsidR="00267C2F" w:rsidRDefault="00D238F1">
            <w:r>
              <w:t>Peter Stead</w:t>
            </w:r>
          </w:p>
          <w:p w14:paraId="5CA15A67" w14:textId="023BD204" w:rsidR="00267C2F" w:rsidRDefault="00267C2F">
            <w:r>
              <w:t>Debbie Dauphinee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0129180D" w:rsidR="00870037" w:rsidRDefault="00870037"/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5C54CF10" w:rsidR="00472DB2" w:rsidRDefault="00D238F1">
            <w:r>
              <w:t>Excavator</w:t>
            </w:r>
          </w:p>
        </w:tc>
        <w:tc>
          <w:tcPr>
            <w:tcW w:w="3117" w:type="dxa"/>
          </w:tcPr>
          <w:p w14:paraId="031B7D4D" w14:textId="3CE81180" w:rsidR="00472DB2" w:rsidRDefault="00D238F1">
            <w:r>
              <w:t>rock</w:t>
            </w:r>
          </w:p>
        </w:tc>
        <w:tc>
          <w:tcPr>
            <w:tcW w:w="3117" w:type="dxa"/>
          </w:tcPr>
          <w:p w14:paraId="50A2A9F8" w14:textId="0A33F28B" w:rsidR="00472DB2" w:rsidRDefault="00D238F1">
            <w:r>
              <w:t>Safety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55AE6F89" w:rsidR="00472DB2" w:rsidRDefault="00D238F1">
            <w:r>
              <w:t>Dozer</w:t>
            </w:r>
          </w:p>
        </w:tc>
        <w:tc>
          <w:tcPr>
            <w:tcW w:w="3117" w:type="dxa"/>
          </w:tcPr>
          <w:p w14:paraId="2EA285AD" w14:textId="5BD99253" w:rsidR="00472DB2" w:rsidRDefault="00D238F1">
            <w:r>
              <w:t>soil</w:t>
            </w:r>
          </w:p>
        </w:tc>
        <w:tc>
          <w:tcPr>
            <w:tcW w:w="3117" w:type="dxa"/>
          </w:tcPr>
          <w:p w14:paraId="2BEEFE5D" w14:textId="1DE9AE58" w:rsidR="00472DB2" w:rsidRDefault="00D238F1">
            <w:r>
              <w:t>Barricades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1118E5EF" w:rsidR="00472DB2" w:rsidRDefault="00472DB2"/>
        </w:tc>
        <w:tc>
          <w:tcPr>
            <w:tcW w:w="3117" w:type="dxa"/>
          </w:tcPr>
          <w:p w14:paraId="67A84D80" w14:textId="2BE345D4" w:rsidR="00472DB2" w:rsidRDefault="00D238F1">
            <w:r>
              <w:t>sand</w:t>
            </w:r>
          </w:p>
        </w:tc>
        <w:tc>
          <w:tcPr>
            <w:tcW w:w="3117" w:type="dxa"/>
          </w:tcPr>
          <w:p w14:paraId="3EB21AAA" w14:textId="2FCF9DF2" w:rsidR="00472DB2" w:rsidRDefault="00D238F1">
            <w:r>
              <w:t>Flagging tape or caution tape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77777777" w:rsidR="00472DB2" w:rsidRDefault="00472DB2"/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0A217E66" w:rsidR="00472DB2" w:rsidRDefault="00D238F1">
            <w:r>
              <w:t>Safety vest</w:t>
            </w:r>
          </w:p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4CB1F08F" w14:textId="244BBACD" w:rsidR="00F97161" w:rsidRDefault="00D238F1" w:rsidP="005B5AB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06603E">
        <w:rPr>
          <w:sz w:val="28"/>
          <w:szCs w:val="28"/>
        </w:rPr>
        <w:t xml:space="preserve">scope of the </w:t>
      </w:r>
      <w:r>
        <w:rPr>
          <w:sz w:val="28"/>
          <w:szCs w:val="28"/>
        </w:rPr>
        <w:t xml:space="preserve">job will determine which machine </w:t>
      </w:r>
      <w:r w:rsidR="00320B12">
        <w:rPr>
          <w:sz w:val="28"/>
          <w:szCs w:val="28"/>
        </w:rPr>
        <w:t>is required</w:t>
      </w:r>
      <w:r w:rsidR="0006603E">
        <w:rPr>
          <w:sz w:val="28"/>
          <w:szCs w:val="28"/>
        </w:rPr>
        <w:t xml:space="preserve"> and if or what type of material is required.</w:t>
      </w:r>
    </w:p>
    <w:p w14:paraId="7C490156" w14:textId="23C29B66" w:rsidR="00320B12" w:rsidRDefault="00320B12" w:rsidP="005B5AB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20B12">
        <w:rPr>
          <w:sz w:val="28"/>
          <w:szCs w:val="28"/>
        </w:rPr>
        <w:t>Grub on the high side of the ditch, leaving a buffer.</w:t>
      </w:r>
    </w:p>
    <w:p w14:paraId="70B56B77" w14:textId="5535C413" w:rsidR="00320B12" w:rsidRPr="00320B12" w:rsidRDefault="00320B12" w:rsidP="00320B1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20B12">
        <w:rPr>
          <w:sz w:val="28"/>
          <w:szCs w:val="28"/>
        </w:rPr>
        <w:t xml:space="preserve">When </w:t>
      </w:r>
      <w:proofErr w:type="gramStart"/>
      <w:r w:rsidRPr="00320B12">
        <w:rPr>
          <w:sz w:val="28"/>
          <w:szCs w:val="28"/>
        </w:rPr>
        <w:t>grubbing</w:t>
      </w:r>
      <w:proofErr w:type="gramEnd"/>
      <w:r w:rsidRPr="00320B12">
        <w:rPr>
          <w:sz w:val="28"/>
          <w:szCs w:val="28"/>
        </w:rPr>
        <w:t xml:space="preserve"> on a side slope, you may have to build a bench along the slope to remove the material safely.</w:t>
      </w:r>
    </w:p>
    <w:p w14:paraId="7AE8ABAA" w14:textId="1A0DE325" w:rsidR="00320B12" w:rsidRDefault="00320B12" w:rsidP="00320B1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20B12">
        <w:rPr>
          <w:sz w:val="28"/>
          <w:szCs w:val="28"/>
        </w:rPr>
        <w:t>If using trucks to haul, load the grubbing so as not to get stuck in the body or hang out over the sides.</w:t>
      </w:r>
    </w:p>
    <w:p w14:paraId="4B0E8747" w14:textId="314C6023" w:rsidR="00320B12" w:rsidRPr="0006603E" w:rsidRDefault="00320B12" w:rsidP="0006603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6603E">
        <w:rPr>
          <w:sz w:val="28"/>
          <w:szCs w:val="28"/>
        </w:rPr>
        <w:t xml:space="preserve">If dozers are </w:t>
      </w:r>
      <w:proofErr w:type="gramStart"/>
      <w:r w:rsidRPr="0006603E">
        <w:rPr>
          <w:sz w:val="28"/>
          <w:szCs w:val="28"/>
        </w:rPr>
        <w:t>grubbing</w:t>
      </w:r>
      <w:proofErr w:type="gramEnd"/>
      <w:r w:rsidRPr="0006603E">
        <w:rPr>
          <w:sz w:val="28"/>
          <w:szCs w:val="28"/>
        </w:rPr>
        <w:t xml:space="preserve"> to a push-off area, always try to push to the sides and leave a buffer at existing tree lines. Do not have the toe of the material on top of any standing trees.</w:t>
      </w:r>
    </w:p>
    <w:p w14:paraId="076885A3" w14:textId="06022C94" w:rsidR="00320B12" w:rsidRPr="00320B12" w:rsidRDefault="00320B12" w:rsidP="00320B1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20B12">
        <w:rPr>
          <w:sz w:val="28"/>
          <w:szCs w:val="28"/>
        </w:rPr>
        <w:t>Ensure any large pieces of wood are broken either by the bucket or the blade.</w:t>
      </w:r>
    </w:p>
    <w:p w14:paraId="4FDB85B2" w14:textId="13264D41" w:rsidR="00320B12" w:rsidRPr="00320B12" w:rsidRDefault="00320B12" w:rsidP="00320B1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20B12">
        <w:rPr>
          <w:sz w:val="28"/>
          <w:szCs w:val="28"/>
        </w:rPr>
        <w:t xml:space="preserve">When traveling with a dozer or excavator over </w:t>
      </w:r>
      <w:proofErr w:type="spellStart"/>
      <w:r w:rsidRPr="00320B12">
        <w:rPr>
          <w:sz w:val="28"/>
          <w:szCs w:val="28"/>
        </w:rPr>
        <w:t>ungrubbed</w:t>
      </w:r>
      <w:proofErr w:type="spellEnd"/>
      <w:r w:rsidRPr="00320B12">
        <w:rPr>
          <w:sz w:val="28"/>
          <w:szCs w:val="28"/>
        </w:rPr>
        <w:t xml:space="preserve"> areas, be sure there are no stakes or stumps protruding which may puncture the bottom of the machine.</w:t>
      </w:r>
    </w:p>
    <w:p w14:paraId="33A4E272" w14:textId="49DB9E67" w:rsidR="00320B12" w:rsidRPr="00320B12" w:rsidRDefault="00320B12" w:rsidP="00320B1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20B12">
        <w:rPr>
          <w:sz w:val="28"/>
          <w:szCs w:val="28"/>
        </w:rPr>
        <w:t>Always prepare a stable access road for haul trucks.</w:t>
      </w:r>
    </w:p>
    <w:p w14:paraId="578FEEA7" w14:textId="7F97801B" w:rsidR="00320B12" w:rsidRPr="00320B12" w:rsidRDefault="00320B12" w:rsidP="00320B1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20B12">
        <w:rPr>
          <w:sz w:val="28"/>
          <w:szCs w:val="28"/>
        </w:rPr>
        <w:t xml:space="preserve">If </w:t>
      </w:r>
      <w:proofErr w:type="gramStart"/>
      <w:r w:rsidRPr="00320B12">
        <w:rPr>
          <w:sz w:val="28"/>
          <w:szCs w:val="28"/>
        </w:rPr>
        <w:t>grubbing</w:t>
      </w:r>
      <w:proofErr w:type="gramEnd"/>
      <w:r w:rsidRPr="00320B12">
        <w:rPr>
          <w:sz w:val="28"/>
          <w:szCs w:val="28"/>
        </w:rPr>
        <w:t xml:space="preserve"> in a low area, it </w:t>
      </w:r>
      <w:r w:rsidR="0006603E" w:rsidRPr="00320B12">
        <w:rPr>
          <w:sz w:val="28"/>
          <w:szCs w:val="28"/>
        </w:rPr>
        <w:t>must</w:t>
      </w:r>
      <w:r w:rsidRPr="00320B12">
        <w:rPr>
          <w:sz w:val="28"/>
          <w:szCs w:val="28"/>
        </w:rPr>
        <w:t xml:space="preserve"> be piled up. Make sure that there are </w:t>
      </w:r>
      <w:proofErr w:type="gramStart"/>
      <w:r w:rsidRPr="00320B12">
        <w:rPr>
          <w:sz w:val="28"/>
          <w:szCs w:val="28"/>
        </w:rPr>
        <w:t>openings</w:t>
      </w:r>
      <w:proofErr w:type="gramEnd"/>
      <w:r w:rsidRPr="00320B12">
        <w:rPr>
          <w:sz w:val="28"/>
          <w:szCs w:val="28"/>
        </w:rPr>
        <w:t xml:space="preserve"> so some water may drain from the area.</w:t>
      </w:r>
    </w:p>
    <w:p w14:paraId="47C36232" w14:textId="7C12760E" w:rsidR="00320B12" w:rsidRPr="00320B12" w:rsidRDefault="00320B12" w:rsidP="00320B1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20B12">
        <w:rPr>
          <w:sz w:val="28"/>
          <w:szCs w:val="28"/>
        </w:rPr>
        <w:lastRenderedPageBreak/>
        <w:t>When working around power lines, conform to the written SWP.</w:t>
      </w:r>
    </w:p>
    <w:p w14:paraId="2D9AF6BA" w14:textId="6613A9F3" w:rsidR="00320B12" w:rsidRPr="00320B12" w:rsidRDefault="00320B12" w:rsidP="00320B1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20B12">
        <w:rPr>
          <w:sz w:val="28"/>
          <w:szCs w:val="28"/>
        </w:rPr>
        <w:t xml:space="preserve"> If burying excess material in a hole, make sure it is either backfilled or secured with a barrier and the appropriate signing each night.</w:t>
      </w:r>
    </w:p>
    <w:p w14:paraId="2CF7F9E4" w14:textId="08001867" w:rsidR="00320B12" w:rsidRPr="00320B12" w:rsidRDefault="00320B12" w:rsidP="00320B1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20B12">
        <w:rPr>
          <w:sz w:val="28"/>
          <w:szCs w:val="28"/>
        </w:rPr>
        <w:t xml:space="preserve"> Be aware of any environmental regulations while you are working.</w:t>
      </w:r>
    </w:p>
    <w:p w14:paraId="403A5BC5" w14:textId="0A5A4F68" w:rsidR="00320B12" w:rsidRPr="00320B12" w:rsidRDefault="00320B12" w:rsidP="00320B1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20B12">
        <w:rPr>
          <w:sz w:val="28"/>
          <w:szCs w:val="28"/>
        </w:rPr>
        <w:t xml:space="preserve"> Ensure any underground wires or services are marked.</w:t>
      </w:r>
    </w:p>
    <w:p w14:paraId="19DF7A66" w14:textId="6D6AC21E" w:rsidR="00320B12" w:rsidRPr="00320B12" w:rsidRDefault="00320B12" w:rsidP="00320B1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20B12">
        <w:rPr>
          <w:sz w:val="28"/>
          <w:szCs w:val="28"/>
        </w:rPr>
        <w:t xml:space="preserve"> The operator must be aware of any boulders on site. He must be careful </w:t>
      </w:r>
      <w:r w:rsidR="0006603E" w:rsidRPr="00320B12">
        <w:rPr>
          <w:sz w:val="28"/>
          <w:szCs w:val="28"/>
        </w:rPr>
        <w:t>not to</w:t>
      </w:r>
      <w:r w:rsidRPr="00320B12">
        <w:rPr>
          <w:sz w:val="28"/>
          <w:szCs w:val="28"/>
        </w:rPr>
        <w:t xml:space="preserve"> dislodge them in case they might roll and hit any personnel or equipment on site.</w:t>
      </w:r>
    </w:p>
    <w:p w14:paraId="01222FC1" w14:textId="48B37C44" w:rsidR="00320B12" w:rsidRPr="005B5ABE" w:rsidRDefault="00320B12" w:rsidP="00320B12">
      <w:pPr>
        <w:pStyle w:val="ListParagraph"/>
        <w:rPr>
          <w:sz w:val="28"/>
          <w:szCs w:val="28"/>
        </w:rPr>
      </w:pPr>
    </w:p>
    <w:sectPr w:rsidR="00320B12" w:rsidRPr="005B5ABE" w:rsidSect="000F470F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6894" w14:textId="77777777" w:rsidR="00211B94" w:rsidRDefault="00211B94" w:rsidP="00211B94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70 Grubbing - Land</w:t>
    </w:r>
  </w:p>
  <w:p w14:paraId="5C1F97F9" w14:textId="77777777" w:rsidR="00A53172" w:rsidRDefault="00A53172" w:rsidP="00A53172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1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28A33C9F" w14:textId="77777777" w:rsidR="00A53172" w:rsidRDefault="00A531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95FD" w14:textId="66A475FE" w:rsidR="00DA7601" w:rsidRDefault="00211B94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70 Grubbing - Land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4E37DA19" w:rsidR="009C6E60" w:rsidRPr="00830C38" w:rsidRDefault="00267C2F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 xml:space="preserve"> </w:t>
          </w:r>
          <w:r w:rsidR="00211B94">
            <w:rPr>
              <w:b/>
              <w:bCs/>
              <w:sz w:val="96"/>
              <w:szCs w:val="96"/>
            </w:rPr>
            <w:t>70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22979A0D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8C548A">
            <w:t>0</w:t>
          </w:r>
          <w:r w:rsidR="00211B94">
            <w:t>2</w:t>
          </w:r>
          <w:r w:rsidR="008C548A">
            <w:t>/1</w:t>
          </w:r>
          <w:r w:rsidR="00D238F1">
            <w:t>7</w:t>
          </w:r>
          <w:r w:rsidR="008C548A">
            <w:t>/</w:t>
          </w:r>
          <w:r w:rsidR="00D238F1">
            <w:t>2025</w:t>
          </w:r>
        </w:p>
      </w:tc>
    </w:tr>
  </w:tbl>
  <w:p w14:paraId="5BE83231" w14:textId="0260B4E7" w:rsidR="008F0130" w:rsidRPr="00F37CAE" w:rsidRDefault="00211B94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Grubbing 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217F1"/>
    <w:multiLevelType w:val="hybridMultilevel"/>
    <w:tmpl w:val="FDE28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61A27"/>
    <w:multiLevelType w:val="hybridMultilevel"/>
    <w:tmpl w:val="931E7A9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827126">
    <w:abstractNumId w:val="0"/>
  </w:num>
  <w:num w:numId="2" w16cid:durableId="52579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6603E"/>
    <w:rsid w:val="00096744"/>
    <w:rsid w:val="000F470F"/>
    <w:rsid w:val="00211B94"/>
    <w:rsid w:val="00267C2F"/>
    <w:rsid w:val="00320B12"/>
    <w:rsid w:val="00472DB2"/>
    <w:rsid w:val="00533D91"/>
    <w:rsid w:val="005822B0"/>
    <w:rsid w:val="005B5ABE"/>
    <w:rsid w:val="005C4AE3"/>
    <w:rsid w:val="00651325"/>
    <w:rsid w:val="006A7053"/>
    <w:rsid w:val="006A7D36"/>
    <w:rsid w:val="0071456B"/>
    <w:rsid w:val="00747C1E"/>
    <w:rsid w:val="00870037"/>
    <w:rsid w:val="00874777"/>
    <w:rsid w:val="008C548A"/>
    <w:rsid w:val="008D78B3"/>
    <w:rsid w:val="008F0130"/>
    <w:rsid w:val="008F614F"/>
    <w:rsid w:val="009C6E60"/>
    <w:rsid w:val="00A31EAA"/>
    <w:rsid w:val="00A53172"/>
    <w:rsid w:val="00A57AFC"/>
    <w:rsid w:val="00B66BC1"/>
    <w:rsid w:val="00C90D99"/>
    <w:rsid w:val="00CA2939"/>
    <w:rsid w:val="00CB7BBA"/>
    <w:rsid w:val="00D238F1"/>
    <w:rsid w:val="00D6177B"/>
    <w:rsid w:val="00D74633"/>
    <w:rsid w:val="00DA7601"/>
    <w:rsid w:val="00E41E9F"/>
    <w:rsid w:val="00E642C3"/>
    <w:rsid w:val="00E81C13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3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3</cp:revision>
  <dcterms:created xsi:type="dcterms:W3CDTF">2025-01-17T18:31:00Z</dcterms:created>
  <dcterms:modified xsi:type="dcterms:W3CDTF">2025-05-05T17:12:00Z</dcterms:modified>
</cp:coreProperties>
</file>