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037" w14:paraId="37EB657E" w14:textId="77777777" w:rsidTr="00E81C13">
        <w:tc>
          <w:tcPr>
            <w:tcW w:w="3116" w:type="dxa"/>
          </w:tcPr>
          <w:p w14:paraId="62150AEF" w14:textId="483C68AC" w:rsidR="00870037" w:rsidRPr="006A7D36" w:rsidRDefault="00A57AFC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Developed By</w:t>
            </w:r>
          </w:p>
        </w:tc>
        <w:tc>
          <w:tcPr>
            <w:tcW w:w="3117" w:type="dxa"/>
          </w:tcPr>
          <w:p w14:paraId="5C516A09" w14:textId="1C6B191E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Reviewed By</w:t>
            </w:r>
          </w:p>
        </w:tc>
        <w:tc>
          <w:tcPr>
            <w:tcW w:w="3117" w:type="dxa"/>
          </w:tcPr>
          <w:p w14:paraId="3A5DB4BC" w14:textId="7E99EF51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Updated</w:t>
            </w:r>
          </w:p>
        </w:tc>
      </w:tr>
      <w:tr w:rsidR="00870037" w14:paraId="0225E166" w14:textId="77777777" w:rsidTr="00E81C13">
        <w:tc>
          <w:tcPr>
            <w:tcW w:w="3116" w:type="dxa"/>
          </w:tcPr>
          <w:p w14:paraId="221C8528" w14:textId="77777777" w:rsidR="006A7D36" w:rsidRDefault="00E877C2">
            <w:r>
              <w:t>Peter Stead</w:t>
            </w:r>
          </w:p>
          <w:p w14:paraId="5CA15A67" w14:textId="738AA708" w:rsidR="00E877C2" w:rsidRDefault="00E877C2">
            <w:r>
              <w:t>Irving</w:t>
            </w:r>
          </w:p>
        </w:tc>
        <w:tc>
          <w:tcPr>
            <w:tcW w:w="3117" w:type="dxa"/>
          </w:tcPr>
          <w:p w14:paraId="35161422" w14:textId="3C947999" w:rsidR="00870037" w:rsidRDefault="00D6177B">
            <w:r>
              <w:t>WAGPI JOHS Committee</w:t>
            </w:r>
          </w:p>
        </w:tc>
        <w:tc>
          <w:tcPr>
            <w:tcW w:w="3117" w:type="dxa"/>
          </w:tcPr>
          <w:p w14:paraId="2B0F39B7" w14:textId="2936C3A9" w:rsidR="00870037" w:rsidRDefault="00870037"/>
        </w:tc>
      </w:tr>
    </w:tbl>
    <w:p w14:paraId="2B4C2FF9" w14:textId="77777777" w:rsidR="0071456B" w:rsidRDefault="00714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2DB2" w14:paraId="69B0D257" w14:textId="77777777" w:rsidTr="00472DB2">
        <w:tc>
          <w:tcPr>
            <w:tcW w:w="3116" w:type="dxa"/>
          </w:tcPr>
          <w:p w14:paraId="0984098C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E1D81" w14:textId="699B6524" w:rsidR="00472DB2" w:rsidRPr="00E642C3" w:rsidRDefault="00472DB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 xml:space="preserve">Equipment </w:t>
            </w:r>
            <w:r w:rsidR="0000337C" w:rsidRPr="00E642C3">
              <w:rPr>
                <w:b/>
                <w:bCs/>
                <w:sz w:val="24"/>
                <w:szCs w:val="24"/>
              </w:rPr>
              <w:t>R</w:t>
            </w:r>
            <w:r w:rsidRPr="00E642C3">
              <w:rPr>
                <w:b/>
                <w:bCs/>
                <w:sz w:val="24"/>
                <w:szCs w:val="24"/>
              </w:rPr>
              <w:t>equired</w:t>
            </w:r>
          </w:p>
        </w:tc>
        <w:tc>
          <w:tcPr>
            <w:tcW w:w="3117" w:type="dxa"/>
          </w:tcPr>
          <w:p w14:paraId="153D3EB5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1ED512" w14:textId="54888AAF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Material Required</w:t>
            </w:r>
          </w:p>
        </w:tc>
        <w:tc>
          <w:tcPr>
            <w:tcW w:w="3117" w:type="dxa"/>
          </w:tcPr>
          <w:p w14:paraId="24E1135E" w14:textId="56811AE5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Personal Protective Equipment</w:t>
            </w:r>
          </w:p>
        </w:tc>
      </w:tr>
      <w:tr w:rsidR="00472DB2" w14:paraId="0B5F7560" w14:textId="77777777" w:rsidTr="00472DB2">
        <w:tc>
          <w:tcPr>
            <w:tcW w:w="3116" w:type="dxa"/>
          </w:tcPr>
          <w:p w14:paraId="3F82419A" w14:textId="7782D61A" w:rsidR="00472DB2" w:rsidRDefault="00E877C2">
            <w:r>
              <w:t>Snowblower</w:t>
            </w:r>
          </w:p>
        </w:tc>
        <w:tc>
          <w:tcPr>
            <w:tcW w:w="3117" w:type="dxa"/>
          </w:tcPr>
          <w:p w14:paraId="031B7D4D" w14:textId="6E3152A6" w:rsidR="00472DB2" w:rsidRDefault="00E877C2">
            <w:r>
              <w:t>Pre-trip Book</w:t>
            </w:r>
          </w:p>
        </w:tc>
        <w:tc>
          <w:tcPr>
            <w:tcW w:w="3117" w:type="dxa"/>
          </w:tcPr>
          <w:p w14:paraId="50A2A9F8" w14:textId="27E4F2B3" w:rsidR="00472DB2" w:rsidRDefault="00E877C2">
            <w:r>
              <w:t>Steel toe Footwear</w:t>
            </w:r>
          </w:p>
        </w:tc>
      </w:tr>
      <w:tr w:rsidR="00472DB2" w14:paraId="0AA0F853" w14:textId="77777777" w:rsidTr="00472DB2">
        <w:tc>
          <w:tcPr>
            <w:tcW w:w="3116" w:type="dxa"/>
          </w:tcPr>
          <w:p w14:paraId="6826AC07" w14:textId="47FAEE96" w:rsidR="00472DB2" w:rsidRDefault="00E877C2">
            <w:r>
              <w:t>Shovel</w:t>
            </w:r>
          </w:p>
        </w:tc>
        <w:tc>
          <w:tcPr>
            <w:tcW w:w="3117" w:type="dxa"/>
          </w:tcPr>
          <w:p w14:paraId="2EA285AD" w14:textId="1E61E62B" w:rsidR="00472DB2" w:rsidRDefault="00E877C2">
            <w:r>
              <w:t>First Aid Kit</w:t>
            </w:r>
          </w:p>
        </w:tc>
        <w:tc>
          <w:tcPr>
            <w:tcW w:w="3117" w:type="dxa"/>
          </w:tcPr>
          <w:p w14:paraId="2BEEFE5D" w14:textId="7ED642E1" w:rsidR="00472DB2" w:rsidRDefault="00CF3A89">
            <w:r>
              <w:t>Warm Clothing</w:t>
            </w:r>
          </w:p>
        </w:tc>
      </w:tr>
      <w:tr w:rsidR="00472DB2" w14:paraId="51B5CC90" w14:textId="77777777" w:rsidTr="00472DB2">
        <w:tc>
          <w:tcPr>
            <w:tcW w:w="3116" w:type="dxa"/>
          </w:tcPr>
          <w:p w14:paraId="5C634704" w14:textId="50C0F3DF" w:rsidR="00472DB2" w:rsidRDefault="00E877C2">
            <w:r>
              <w:t>Gas Sniffer (on site)</w:t>
            </w:r>
          </w:p>
        </w:tc>
        <w:tc>
          <w:tcPr>
            <w:tcW w:w="3117" w:type="dxa"/>
          </w:tcPr>
          <w:p w14:paraId="67A84D80" w14:textId="13F2803D" w:rsidR="00472DB2" w:rsidRDefault="00E877C2">
            <w:r>
              <w:t>Fire Extinguisher</w:t>
            </w:r>
          </w:p>
        </w:tc>
        <w:tc>
          <w:tcPr>
            <w:tcW w:w="3117" w:type="dxa"/>
          </w:tcPr>
          <w:p w14:paraId="3EB21AAA" w14:textId="345303D0" w:rsidR="00472DB2" w:rsidRDefault="00CF3A89">
            <w:r>
              <w:t>Fire Retardant Coveralls</w:t>
            </w:r>
          </w:p>
        </w:tc>
      </w:tr>
      <w:tr w:rsidR="00472DB2" w14:paraId="38496CED" w14:textId="77777777" w:rsidTr="00472DB2">
        <w:tc>
          <w:tcPr>
            <w:tcW w:w="3116" w:type="dxa"/>
          </w:tcPr>
          <w:p w14:paraId="4675A43A" w14:textId="77777777" w:rsidR="00472DB2" w:rsidRDefault="00472DB2"/>
        </w:tc>
        <w:tc>
          <w:tcPr>
            <w:tcW w:w="3117" w:type="dxa"/>
          </w:tcPr>
          <w:p w14:paraId="2A2A1ED6" w14:textId="082D2F1A" w:rsidR="00472DB2" w:rsidRDefault="00E877C2">
            <w:r>
              <w:t>First Aid Kit</w:t>
            </w:r>
          </w:p>
        </w:tc>
        <w:tc>
          <w:tcPr>
            <w:tcW w:w="3117" w:type="dxa"/>
          </w:tcPr>
          <w:p w14:paraId="2CEDC272" w14:textId="77777777" w:rsidR="00472DB2" w:rsidRDefault="00472DB2"/>
        </w:tc>
      </w:tr>
    </w:tbl>
    <w:p w14:paraId="503F0AA9" w14:textId="77777777" w:rsidR="00D74633" w:rsidRDefault="00D74633"/>
    <w:p w14:paraId="4E8A3C79" w14:textId="08ADF4F4" w:rsidR="00CB7BBA" w:rsidRDefault="00CB7BBA">
      <w:pPr>
        <w:rPr>
          <w:b/>
          <w:bCs/>
          <w:sz w:val="32"/>
          <w:szCs w:val="32"/>
        </w:rPr>
      </w:pPr>
      <w:r w:rsidRPr="00CB7BBA">
        <w:rPr>
          <w:b/>
          <w:bCs/>
          <w:sz w:val="32"/>
          <w:szCs w:val="32"/>
        </w:rPr>
        <w:t>Job Steps</w:t>
      </w:r>
    </w:p>
    <w:p w14:paraId="7C03F8D1" w14:textId="2C3B185B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Call</w:t>
      </w:r>
      <w:r w:rsidRPr="00D413BA">
        <w:rPr>
          <w:rFonts w:cstheme="minorHAnsi"/>
          <w:sz w:val="28"/>
          <w:szCs w:val="28"/>
        </w:rPr>
        <w:t xml:space="preserve"> Irving System Operations Center (SOC) upon arrival to gain entry to site. Cameras are monitoring the entire property. </w:t>
      </w:r>
    </w:p>
    <w:p w14:paraId="3F6D66AF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 xml:space="preserve">Turn off cell phones once entering premises, roughly every hour </w:t>
      </w:r>
      <w:proofErr w:type="gramStart"/>
      <w:r w:rsidRPr="00D413BA">
        <w:rPr>
          <w:rFonts w:cstheme="minorHAnsi"/>
          <w:sz w:val="28"/>
          <w:szCs w:val="28"/>
        </w:rPr>
        <w:t>return</w:t>
      </w:r>
      <w:proofErr w:type="gramEnd"/>
      <w:r w:rsidRPr="00D413BA">
        <w:rPr>
          <w:rFonts w:cstheme="minorHAnsi"/>
          <w:sz w:val="28"/>
          <w:szCs w:val="28"/>
        </w:rPr>
        <w:t xml:space="preserve"> to the green zone (Area along fence at least 50ft from all equipment) and check in with William Gerhardt, 902-527-6987</w:t>
      </w:r>
    </w:p>
    <w:p w14:paraId="63090BAF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 xml:space="preserve"> Walk along the Green Zone to get to the building.  You can change into your </w:t>
      </w:r>
      <w:proofErr w:type="gramStart"/>
      <w:r w:rsidRPr="00D413BA">
        <w:rPr>
          <w:rFonts w:cstheme="minorHAnsi"/>
          <w:sz w:val="28"/>
          <w:szCs w:val="28"/>
        </w:rPr>
        <w:t>fire retardant</w:t>
      </w:r>
      <w:proofErr w:type="gramEnd"/>
      <w:r w:rsidRPr="00D413BA">
        <w:rPr>
          <w:rFonts w:cstheme="minorHAnsi"/>
          <w:sz w:val="28"/>
          <w:szCs w:val="28"/>
        </w:rPr>
        <w:t xml:space="preserve"> coveralls inside the building.</w:t>
      </w:r>
    </w:p>
    <w:p w14:paraId="6D1216AF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 xml:space="preserve">Preform a gas sniff test and record findings.  Instructions on how to complete the test are on the table in the building, a recording must be made every hour.  The gas sniffer should be </w:t>
      </w:r>
      <w:proofErr w:type="gramStart"/>
      <w:r w:rsidRPr="00D413BA">
        <w:rPr>
          <w:rFonts w:cstheme="minorHAnsi"/>
          <w:sz w:val="28"/>
          <w:szCs w:val="28"/>
        </w:rPr>
        <w:t>worn by one employee at all times</w:t>
      </w:r>
      <w:proofErr w:type="gramEnd"/>
      <w:r w:rsidRPr="00D413BA">
        <w:rPr>
          <w:rFonts w:cstheme="minorHAnsi"/>
          <w:sz w:val="28"/>
          <w:szCs w:val="28"/>
        </w:rPr>
        <w:t>.</w:t>
      </w:r>
    </w:p>
    <w:p w14:paraId="69FD16CE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There are green lights mounted on poles, if they ever change to red, turn off your equipment and leave the premises.</w:t>
      </w:r>
    </w:p>
    <w:p w14:paraId="2D60D7F2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If you hear an alarm/buzzer sound that means SOC wants to talk to you.  Stop working and phone them.</w:t>
      </w:r>
    </w:p>
    <w:p w14:paraId="77492319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 xml:space="preserve">Small equipment such as a snowblower or skid steer must keep a distance of 6ft from all assets (Trailers, </w:t>
      </w:r>
      <w:proofErr w:type="spellStart"/>
      <w:proofErr w:type="gramStart"/>
      <w:r w:rsidRPr="00D413BA">
        <w:rPr>
          <w:rFonts w:cstheme="minorHAnsi"/>
          <w:sz w:val="28"/>
          <w:szCs w:val="28"/>
        </w:rPr>
        <w:t>buildings,tanks</w:t>
      </w:r>
      <w:proofErr w:type="spellEnd"/>
      <w:proofErr w:type="gramEnd"/>
      <w:r w:rsidRPr="00D413BA">
        <w:rPr>
          <w:rFonts w:cstheme="minorHAnsi"/>
          <w:sz w:val="28"/>
          <w:szCs w:val="28"/>
        </w:rPr>
        <w:t xml:space="preserve">, </w:t>
      </w:r>
      <w:proofErr w:type="spellStart"/>
      <w:r w:rsidRPr="00D413BA">
        <w:rPr>
          <w:rFonts w:cstheme="minorHAnsi"/>
          <w:sz w:val="28"/>
          <w:szCs w:val="28"/>
        </w:rPr>
        <w:t>etc</w:t>
      </w:r>
      <w:proofErr w:type="spellEnd"/>
      <w:r w:rsidRPr="00D413BA">
        <w:rPr>
          <w:rFonts w:cstheme="minorHAnsi"/>
          <w:sz w:val="28"/>
          <w:szCs w:val="28"/>
        </w:rPr>
        <w:t>) the skid steer must have a spotter at all times.</w:t>
      </w:r>
    </w:p>
    <w:p w14:paraId="4BD45B29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The areas to be shoveled include:</w:t>
      </w:r>
    </w:p>
    <w:p w14:paraId="2CBA0F15" w14:textId="77777777" w:rsidR="00D413BA" w:rsidRPr="00D413BA" w:rsidRDefault="00D413BA" w:rsidP="00D413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lastRenderedPageBreak/>
        <w:t>The concrete pad and the perimeter around the building so all doors are accessible.</w:t>
      </w:r>
    </w:p>
    <w:p w14:paraId="78E174A3" w14:textId="77777777" w:rsidR="00D413BA" w:rsidRPr="00D413BA" w:rsidRDefault="00D413BA" w:rsidP="00D413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A path to shut off valves located between the building and the large aluminum tank.</w:t>
      </w:r>
    </w:p>
    <w:p w14:paraId="7C449383" w14:textId="77777777" w:rsidR="00D413BA" w:rsidRPr="00D413BA" w:rsidRDefault="00D413BA" w:rsidP="00D413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A path connecting the building to the main parking lot.</w:t>
      </w:r>
    </w:p>
    <w:p w14:paraId="6DDC03FF" w14:textId="77777777" w:rsidR="00D413BA" w:rsidRPr="00D413BA" w:rsidRDefault="00D413BA" w:rsidP="00D413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A long the sides of any parked trailers.</w:t>
      </w:r>
    </w:p>
    <w:p w14:paraId="2C922DC5" w14:textId="77777777" w:rsidR="00D413BA" w:rsidRPr="00D413BA" w:rsidRDefault="00D413BA" w:rsidP="00D413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A path to valves and hoses where the trailers hook up.</w:t>
      </w:r>
    </w:p>
    <w:p w14:paraId="7EF2BA33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 xml:space="preserve"> When work complete, return gas </w:t>
      </w:r>
      <w:proofErr w:type="spellStart"/>
      <w:r w:rsidRPr="00D413BA">
        <w:rPr>
          <w:rFonts w:cstheme="minorHAnsi"/>
          <w:sz w:val="28"/>
          <w:szCs w:val="28"/>
        </w:rPr>
        <w:t>sniifer</w:t>
      </w:r>
      <w:proofErr w:type="spellEnd"/>
      <w:r w:rsidRPr="00D413BA">
        <w:rPr>
          <w:rFonts w:cstheme="minorHAnsi"/>
          <w:sz w:val="28"/>
          <w:szCs w:val="28"/>
        </w:rPr>
        <w:t xml:space="preserve"> to the building.  Make sure building is left in a clean / orderly fashion as it was found.</w:t>
      </w:r>
    </w:p>
    <w:p w14:paraId="40DE3C59" w14:textId="77777777" w:rsidR="00D413BA" w:rsidRPr="00D413BA" w:rsidRDefault="00D413BA" w:rsidP="00D413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413BA">
        <w:rPr>
          <w:rFonts w:cstheme="minorHAnsi"/>
          <w:sz w:val="28"/>
          <w:szCs w:val="28"/>
        </w:rPr>
        <w:t>Exit the premises.  The gate will open for you, if not call the SOC</w:t>
      </w:r>
    </w:p>
    <w:p w14:paraId="4CB1F08F" w14:textId="652CA006" w:rsidR="00F97161" w:rsidRPr="00F97161" w:rsidRDefault="00F97161" w:rsidP="00D413BA">
      <w:pPr>
        <w:rPr>
          <w:sz w:val="28"/>
          <w:szCs w:val="28"/>
        </w:rPr>
      </w:pPr>
    </w:p>
    <w:sectPr w:rsidR="00F97161" w:rsidRPr="00F97161" w:rsidSect="000F470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C313" w14:textId="77777777" w:rsidR="000F470F" w:rsidRDefault="000F470F" w:rsidP="000F470F">
      <w:pPr>
        <w:spacing w:after="0" w:line="240" w:lineRule="auto"/>
      </w:pPr>
      <w:r>
        <w:separator/>
      </w:r>
    </w:p>
  </w:endnote>
  <w:endnote w:type="continuationSeparator" w:id="0">
    <w:p w14:paraId="3904A11F" w14:textId="77777777" w:rsidR="000F470F" w:rsidRDefault="000F470F" w:rsidP="000F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8C97" w14:textId="447158C9" w:rsidR="00D413BA" w:rsidRDefault="00D413BA" w:rsidP="00D413BA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58 – Irving Natural Gas Shoveling</w:t>
    </w:r>
  </w:p>
  <w:p w14:paraId="7C246DFF" w14:textId="77777777" w:rsidR="00D413BA" w:rsidRDefault="00D413BA" w:rsidP="00D413BA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11D4A756" w14:textId="1C9CBFA8" w:rsidR="00D413BA" w:rsidRDefault="00D413BA" w:rsidP="00D413BA">
    <w:pPr>
      <w:pStyle w:val="Footer"/>
      <w:tabs>
        <w:tab w:val="clear" w:pos="4680"/>
        <w:tab w:val="clear" w:pos="9360"/>
        <w:tab w:val="left" w:pos="41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95FD" w14:textId="120B43F1" w:rsidR="00DA7601" w:rsidRDefault="00D413BA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58 – Irving Natural Gas Shoveling</w:t>
    </w:r>
  </w:p>
  <w:p w14:paraId="39B7CD1A" w14:textId="267ED96B" w:rsidR="00DA7601" w:rsidRDefault="00DA760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C72B82E" w14:textId="6AA43CA7" w:rsidR="00F55050" w:rsidRDefault="00F55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84B3" w14:textId="77777777" w:rsidR="000F470F" w:rsidRDefault="000F470F" w:rsidP="000F470F">
      <w:pPr>
        <w:spacing w:after="0" w:line="240" w:lineRule="auto"/>
      </w:pPr>
      <w:r>
        <w:separator/>
      </w:r>
    </w:p>
  </w:footnote>
  <w:footnote w:type="continuationSeparator" w:id="0">
    <w:p w14:paraId="3B9F362A" w14:textId="77777777" w:rsidR="000F470F" w:rsidRDefault="000F470F" w:rsidP="000F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3145"/>
      <w:gridCol w:w="4675"/>
      <w:gridCol w:w="10"/>
    </w:tblGrid>
    <w:tr w:rsidR="009C6E60" w14:paraId="3068E899" w14:textId="77777777" w:rsidTr="009C6E60">
      <w:tc>
        <w:tcPr>
          <w:tcW w:w="1530" w:type="dxa"/>
        </w:tcPr>
        <w:p w14:paraId="57F84D17" w14:textId="783F2455" w:rsidR="009C6E60" w:rsidRPr="00830C38" w:rsidRDefault="007438E3" w:rsidP="009C6E6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96"/>
              <w:szCs w:val="96"/>
            </w:rPr>
            <w:t>58</w:t>
          </w:r>
        </w:p>
      </w:tc>
      <w:tc>
        <w:tcPr>
          <w:tcW w:w="7830" w:type="dxa"/>
          <w:gridSpan w:val="3"/>
        </w:tcPr>
        <w:p w14:paraId="6BB240B2" w14:textId="77777777" w:rsidR="009C6E60" w:rsidRDefault="009C6E60" w:rsidP="009C6E60">
          <w:pPr>
            <w:pStyle w:val="Header"/>
          </w:pPr>
          <w:r>
            <w:rPr>
              <w:noProof/>
            </w:rPr>
            <w:drawing>
              <wp:inline distT="0" distB="0" distL="0" distR="0" wp14:anchorId="43AFF9D8" wp14:editId="51109927">
                <wp:extent cx="5172075" cy="1019496"/>
                <wp:effectExtent l="0" t="0" r="0" b="9525"/>
                <wp:docPr id="1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809" cy="102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7C1E" w14:paraId="79E55A25" w14:textId="77777777" w:rsidTr="009C6E60">
      <w:trPr>
        <w:gridAfter w:val="1"/>
        <w:wAfter w:w="10" w:type="dxa"/>
      </w:trPr>
      <w:tc>
        <w:tcPr>
          <w:tcW w:w="4675" w:type="dxa"/>
          <w:gridSpan w:val="2"/>
        </w:tcPr>
        <w:p w14:paraId="6402B0C0" w14:textId="14D11193" w:rsidR="00747C1E" w:rsidRDefault="00747C1E">
          <w:pPr>
            <w:pStyle w:val="Header"/>
          </w:pPr>
        </w:p>
      </w:tc>
      <w:tc>
        <w:tcPr>
          <w:tcW w:w="4675" w:type="dxa"/>
        </w:tcPr>
        <w:p w14:paraId="5643962F" w14:textId="6A8E6EC1" w:rsidR="00747C1E" w:rsidRDefault="00C90D99" w:rsidP="00C90D99">
          <w:pPr>
            <w:pStyle w:val="Header"/>
            <w:jc w:val="right"/>
          </w:pPr>
          <w:r>
            <w:t xml:space="preserve">Created: </w:t>
          </w:r>
          <w:r w:rsidR="00E877C2">
            <w:t>12/10/2015</w:t>
          </w:r>
        </w:p>
      </w:tc>
    </w:tr>
  </w:tbl>
  <w:p w14:paraId="5BE83231" w14:textId="0CAF91E9" w:rsidR="008F0130" w:rsidRPr="00F37CAE" w:rsidRDefault="007438E3">
    <w:pPr>
      <w:pStyle w:val="Header"/>
      <w:rPr>
        <w:b/>
        <w:bCs/>
        <w:sz w:val="48"/>
        <w:szCs w:val="48"/>
      </w:rPr>
    </w:pPr>
    <w:r>
      <w:rPr>
        <w:b/>
        <w:bCs/>
        <w:sz w:val="48"/>
        <w:szCs w:val="48"/>
      </w:rPr>
      <w:t>Irving Natural Gas Shoveling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AA0"/>
    <w:multiLevelType w:val="hybridMultilevel"/>
    <w:tmpl w:val="A866F5CE"/>
    <w:lvl w:ilvl="0" w:tplc="3EC2F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041D"/>
    <w:multiLevelType w:val="hybridMultilevel"/>
    <w:tmpl w:val="59B60E26"/>
    <w:lvl w:ilvl="0" w:tplc="28EAE5BE">
      <w:start w:val="2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482593">
    <w:abstractNumId w:val="0"/>
  </w:num>
  <w:num w:numId="2" w16cid:durableId="176673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A"/>
    <w:rsid w:val="0000337C"/>
    <w:rsid w:val="00096744"/>
    <w:rsid w:val="000F470F"/>
    <w:rsid w:val="00472DB2"/>
    <w:rsid w:val="00533D91"/>
    <w:rsid w:val="00651325"/>
    <w:rsid w:val="006A7053"/>
    <w:rsid w:val="006A7D36"/>
    <w:rsid w:val="0071456B"/>
    <w:rsid w:val="007438E3"/>
    <w:rsid w:val="00747C1E"/>
    <w:rsid w:val="00870037"/>
    <w:rsid w:val="008F0130"/>
    <w:rsid w:val="009C6E60"/>
    <w:rsid w:val="00A31EAA"/>
    <w:rsid w:val="00A57AFC"/>
    <w:rsid w:val="00C90D99"/>
    <w:rsid w:val="00CB7BBA"/>
    <w:rsid w:val="00CF3A89"/>
    <w:rsid w:val="00D413BA"/>
    <w:rsid w:val="00D6177B"/>
    <w:rsid w:val="00D74633"/>
    <w:rsid w:val="00DA7601"/>
    <w:rsid w:val="00E41E9F"/>
    <w:rsid w:val="00E642C3"/>
    <w:rsid w:val="00E81C13"/>
    <w:rsid w:val="00E877C2"/>
    <w:rsid w:val="00F37CAE"/>
    <w:rsid w:val="00F55050"/>
    <w:rsid w:val="00F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D19D4"/>
  <w15:chartTrackingRefBased/>
  <w15:docId w15:val="{45983D01-1009-49CF-917F-85D528B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0F"/>
  </w:style>
  <w:style w:type="paragraph" w:styleId="Footer">
    <w:name w:val="footer"/>
    <w:basedOn w:val="Normal"/>
    <w:link w:val="Foot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0F"/>
  </w:style>
  <w:style w:type="table" w:styleId="TableGrid">
    <w:name w:val="Table Grid"/>
    <w:basedOn w:val="TableNormal"/>
    <w:uiPriority w:val="39"/>
    <w:rsid w:val="0087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Stead</dc:creator>
  <cp:keywords/>
  <dc:description/>
  <cp:lastModifiedBy>Peter Stead</cp:lastModifiedBy>
  <cp:revision>28</cp:revision>
  <dcterms:created xsi:type="dcterms:W3CDTF">2021-12-29T22:02:00Z</dcterms:created>
  <dcterms:modified xsi:type="dcterms:W3CDTF">2022-09-20T22:30:00Z</dcterms:modified>
</cp:coreProperties>
</file>