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5CA15A67" w14:textId="6B66CAD8" w:rsidR="006A7D36" w:rsidRDefault="00751E01">
            <w:r>
              <w:t>Debbie Dauphinee</w:t>
            </w:r>
          </w:p>
        </w:tc>
        <w:tc>
          <w:tcPr>
            <w:tcW w:w="3117" w:type="dxa"/>
          </w:tcPr>
          <w:p w14:paraId="35161422" w14:textId="3C947999" w:rsidR="00870037" w:rsidRDefault="00D6177B">
            <w:r>
              <w:t>WAGPI JOHS Committee</w:t>
            </w:r>
          </w:p>
        </w:tc>
        <w:tc>
          <w:tcPr>
            <w:tcW w:w="3117" w:type="dxa"/>
          </w:tcPr>
          <w:p w14:paraId="2B0F39B7" w14:textId="25CB7A41" w:rsidR="00870037" w:rsidRDefault="00870037"/>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51CA56C2" w:rsidR="00472DB2" w:rsidRDefault="00751E01">
            <w:r>
              <w:t>Loader</w:t>
            </w:r>
          </w:p>
        </w:tc>
        <w:tc>
          <w:tcPr>
            <w:tcW w:w="3117" w:type="dxa"/>
          </w:tcPr>
          <w:p w14:paraId="031B7D4D" w14:textId="77777777" w:rsidR="00472DB2" w:rsidRDefault="00472DB2"/>
        </w:tc>
        <w:tc>
          <w:tcPr>
            <w:tcW w:w="3117" w:type="dxa"/>
          </w:tcPr>
          <w:p w14:paraId="50A2A9F8" w14:textId="2BE0ED3E" w:rsidR="00472DB2" w:rsidRDefault="00751E01">
            <w:r>
              <w:t xml:space="preserve">Steel toe </w:t>
            </w:r>
            <w:proofErr w:type="gramStart"/>
            <w:r>
              <w:t>Foot Wear</w:t>
            </w:r>
            <w:proofErr w:type="gramEnd"/>
          </w:p>
        </w:tc>
      </w:tr>
      <w:tr w:rsidR="00472DB2" w14:paraId="0AA0F853" w14:textId="77777777" w:rsidTr="00472DB2">
        <w:tc>
          <w:tcPr>
            <w:tcW w:w="3116" w:type="dxa"/>
          </w:tcPr>
          <w:p w14:paraId="6826AC07" w14:textId="77777777" w:rsidR="00472DB2" w:rsidRDefault="00472DB2"/>
        </w:tc>
        <w:tc>
          <w:tcPr>
            <w:tcW w:w="3117" w:type="dxa"/>
          </w:tcPr>
          <w:p w14:paraId="2EA285AD" w14:textId="77777777" w:rsidR="00472DB2" w:rsidRDefault="00472DB2"/>
        </w:tc>
        <w:tc>
          <w:tcPr>
            <w:tcW w:w="3117" w:type="dxa"/>
          </w:tcPr>
          <w:p w14:paraId="2BEEFE5D" w14:textId="1ACB6F9F" w:rsidR="00472DB2" w:rsidRDefault="00751E01">
            <w:r>
              <w:t>Sa</w:t>
            </w:r>
            <w:r w:rsidR="00650227">
              <w:t>fety Vest</w:t>
            </w:r>
          </w:p>
        </w:tc>
      </w:tr>
      <w:tr w:rsidR="00472DB2" w14:paraId="51B5CC90" w14:textId="77777777" w:rsidTr="00472DB2">
        <w:tc>
          <w:tcPr>
            <w:tcW w:w="3116" w:type="dxa"/>
          </w:tcPr>
          <w:p w14:paraId="5C634704" w14:textId="77777777" w:rsidR="00472DB2" w:rsidRDefault="00472DB2"/>
        </w:tc>
        <w:tc>
          <w:tcPr>
            <w:tcW w:w="3117" w:type="dxa"/>
          </w:tcPr>
          <w:p w14:paraId="67A84D80" w14:textId="77777777" w:rsidR="00472DB2" w:rsidRDefault="00472DB2"/>
        </w:tc>
        <w:tc>
          <w:tcPr>
            <w:tcW w:w="3117" w:type="dxa"/>
          </w:tcPr>
          <w:p w14:paraId="3EB21AAA" w14:textId="76C073E7" w:rsidR="00472DB2" w:rsidRDefault="00650227">
            <w:r>
              <w:t>Hard Hat (in Cab)</w:t>
            </w:r>
          </w:p>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77777777" w:rsidR="00472DB2" w:rsidRDefault="00472DB2"/>
        </w:tc>
      </w:tr>
    </w:tbl>
    <w:p w14:paraId="503F0AA9" w14:textId="77777777" w:rsidR="00D74633" w:rsidRDefault="00D74633"/>
    <w:p w14:paraId="4E8A3C79" w14:textId="08ADF4F4" w:rsidR="00CB7BBA" w:rsidRDefault="00CB7BBA">
      <w:pPr>
        <w:rPr>
          <w:b/>
          <w:bCs/>
          <w:sz w:val="32"/>
          <w:szCs w:val="32"/>
        </w:rPr>
      </w:pPr>
      <w:r w:rsidRPr="00CB7BBA">
        <w:rPr>
          <w:b/>
          <w:bCs/>
          <w:sz w:val="32"/>
          <w:szCs w:val="32"/>
        </w:rPr>
        <w:t>Job Steps</w:t>
      </w:r>
    </w:p>
    <w:p w14:paraId="14ED2267" w14:textId="6D54E9A4" w:rsidR="00CB7BBA" w:rsidRPr="006046D8" w:rsidRDefault="00CD1CCD" w:rsidP="00CD1CCD">
      <w:pPr>
        <w:pStyle w:val="ListParagraph"/>
        <w:numPr>
          <w:ilvl w:val="0"/>
          <w:numId w:val="1"/>
        </w:numPr>
        <w:rPr>
          <w:rFonts w:cstheme="minorHAnsi"/>
          <w:sz w:val="28"/>
          <w:szCs w:val="28"/>
        </w:rPr>
      </w:pPr>
      <w:r w:rsidRPr="006046D8">
        <w:rPr>
          <w:rFonts w:cstheme="minorHAnsi"/>
          <w:sz w:val="28"/>
          <w:szCs w:val="28"/>
        </w:rPr>
        <w:t>DCP Only, refer to operator’s manual</w:t>
      </w:r>
    </w:p>
    <w:p w14:paraId="20B8B166" w14:textId="77777777" w:rsidR="00CD1CCD" w:rsidRPr="006046D8" w:rsidRDefault="00CD1CCD" w:rsidP="00CD1CCD">
      <w:pPr>
        <w:pStyle w:val="ListParagraph"/>
        <w:rPr>
          <w:rFonts w:cstheme="minorHAnsi"/>
          <w:sz w:val="28"/>
          <w:szCs w:val="28"/>
        </w:rPr>
      </w:pPr>
    </w:p>
    <w:p w14:paraId="64485597" w14:textId="4C660EFF" w:rsidR="00CD1CCD" w:rsidRPr="006046D8" w:rsidRDefault="00CD1CCD" w:rsidP="00CD1CCD">
      <w:pPr>
        <w:pStyle w:val="ListParagraph"/>
        <w:numPr>
          <w:ilvl w:val="0"/>
          <w:numId w:val="1"/>
        </w:numPr>
        <w:rPr>
          <w:rFonts w:cstheme="minorHAnsi"/>
          <w:sz w:val="28"/>
          <w:szCs w:val="28"/>
        </w:rPr>
      </w:pPr>
      <w:proofErr w:type="spellStart"/>
      <w:r w:rsidRPr="006046D8">
        <w:rPr>
          <w:rFonts w:cstheme="minorHAnsi"/>
          <w:sz w:val="28"/>
          <w:szCs w:val="28"/>
        </w:rPr>
        <w:t>Pretrip</w:t>
      </w:r>
      <w:proofErr w:type="spellEnd"/>
    </w:p>
    <w:p w14:paraId="255D4A33" w14:textId="77777777" w:rsidR="00D479FC" w:rsidRPr="006046D8" w:rsidRDefault="00D479FC" w:rsidP="00D479FC">
      <w:pPr>
        <w:pStyle w:val="ListParagraph"/>
        <w:rPr>
          <w:rFonts w:cstheme="minorHAnsi"/>
          <w:sz w:val="28"/>
          <w:szCs w:val="28"/>
        </w:rPr>
      </w:pPr>
    </w:p>
    <w:p w14:paraId="47DF6876" w14:textId="6357CAE7" w:rsidR="00D479FC" w:rsidRPr="006046D8" w:rsidRDefault="00D479FC" w:rsidP="00D479FC">
      <w:pPr>
        <w:pStyle w:val="ListParagraph"/>
        <w:numPr>
          <w:ilvl w:val="0"/>
          <w:numId w:val="1"/>
        </w:numPr>
        <w:spacing w:after="200" w:line="240" w:lineRule="auto"/>
        <w:contextualSpacing w:val="0"/>
        <w:jc w:val="both"/>
        <w:rPr>
          <w:rFonts w:cstheme="minorHAnsi"/>
          <w:sz w:val="28"/>
          <w:szCs w:val="28"/>
        </w:rPr>
      </w:pPr>
      <w:r w:rsidRPr="006046D8">
        <w:rPr>
          <w:rStyle w:val="A9"/>
          <w:rFonts w:asciiTheme="minorHAnsi" w:hAnsiTheme="minorHAnsi" w:cstheme="minorHAnsi"/>
          <w:bCs/>
          <w:sz w:val="28"/>
          <w:szCs w:val="28"/>
        </w:rPr>
        <w:t>Housekeeping</w:t>
      </w:r>
      <w:r w:rsidR="00380D85" w:rsidRPr="006046D8">
        <w:rPr>
          <w:rStyle w:val="A9"/>
          <w:rFonts w:asciiTheme="minorHAnsi" w:hAnsiTheme="minorHAnsi" w:cstheme="minorHAnsi"/>
          <w:bCs/>
          <w:sz w:val="28"/>
          <w:szCs w:val="28"/>
        </w:rPr>
        <w:t>.  C</w:t>
      </w:r>
      <w:r w:rsidRPr="006046D8">
        <w:rPr>
          <w:rFonts w:cstheme="minorHAnsi"/>
          <w:sz w:val="28"/>
          <w:szCs w:val="28"/>
        </w:rPr>
        <w:t xml:space="preserve">abs, steps, windows, windshields, and mirrors (if applicable) must be </w:t>
      </w:r>
      <w:r w:rsidR="006046D8" w:rsidRPr="006046D8">
        <w:rPr>
          <w:rFonts w:cstheme="minorHAnsi"/>
          <w:sz w:val="28"/>
          <w:szCs w:val="28"/>
        </w:rPr>
        <w:t>always kept clean</w:t>
      </w:r>
      <w:r w:rsidRPr="006046D8">
        <w:rPr>
          <w:rFonts w:cstheme="minorHAnsi"/>
          <w:sz w:val="28"/>
          <w:szCs w:val="28"/>
        </w:rPr>
        <w:t>. All debris should be removed.</w:t>
      </w:r>
    </w:p>
    <w:p w14:paraId="5D9B194E" w14:textId="77777777" w:rsidR="001A7CF4" w:rsidRPr="006046D8" w:rsidRDefault="001A7CF4" w:rsidP="001A7CF4">
      <w:pPr>
        <w:pStyle w:val="ListParagraph"/>
        <w:rPr>
          <w:rFonts w:cstheme="minorHAnsi"/>
          <w:sz w:val="28"/>
          <w:szCs w:val="28"/>
        </w:rPr>
      </w:pPr>
    </w:p>
    <w:p w14:paraId="2F1E0032" w14:textId="164E9CCE" w:rsidR="001A7CF4" w:rsidRPr="006046D8" w:rsidRDefault="001A7CF4" w:rsidP="001A7CF4">
      <w:pPr>
        <w:pStyle w:val="ListParagraph"/>
        <w:numPr>
          <w:ilvl w:val="0"/>
          <w:numId w:val="1"/>
        </w:numPr>
        <w:spacing w:after="200" w:line="240" w:lineRule="auto"/>
        <w:contextualSpacing w:val="0"/>
        <w:jc w:val="both"/>
        <w:rPr>
          <w:rFonts w:cstheme="minorHAnsi"/>
          <w:sz w:val="28"/>
          <w:szCs w:val="28"/>
        </w:rPr>
      </w:pPr>
      <w:r w:rsidRPr="006046D8">
        <w:rPr>
          <w:rFonts w:cstheme="minorHAnsi"/>
          <w:bCs/>
          <w:sz w:val="28"/>
          <w:szCs w:val="28"/>
        </w:rPr>
        <w:t>Danger zone</w:t>
      </w:r>
      <w:r w:rsidRPr="006046D8">
        <w:rPr>
          <w:rFonts w:cstheme="minorHAnsi"/>
          <w:sz w:val="28"/>
          <w:szCs w:val="28"/>
        </w:rPr>
        <w:t xml:space="preserve"> – danger zone is defined as the area around operating machines or working personnel, in which there is potential for being struck by moving equipment or objects. The danger zone may vary according to the machine or work being performed. Operators must make sure that all persons, </w:t>
      </w:r>
      <w:proofErr w:type="gramStart"/>
      <w:r w:rsidRPr="006046D8">
        <w:rPr>
          <w:rFonts w:cstheme="minorHAnsi"/>
          <w:sz w:val="28"/>
          <w:szCs w:val="28"/>
        </w:rPr>
        <w:t>vehicles</w:t>
      </w:r>
      <w:proofErr w:type="gramEnd"/>
      <w:r w:rsidRPr="006046D8">
        <w:rPr>
          <w:rFonts w:cstheme="minorHAnsi"/>
          <w:sz w:val="28"/>
          <w:szCs w:val="28"/>
        </w:rPr>
        <w:t xml:space="preserve"> and equipment are clear of the danger zone before the </w:t>
      </w:r>
      <w:r w:rsidR="006046D8" w:rsidRPr="006046D8">
        <w:rPr>
          <w:rFonts w:cstheme="minorHAnsi"/>
          <w:sz w:val="28"/>
          <w:szCs w:val="28"/>
        </w:rPr>
        <w:t>vehicle,</w:t>
      </w:r>
      <w:r w:rsidRPr="006046D8">
        <w:rPr>
          <w:rFonts w:cstheme="minorHAnsi"/>
          <w:sz w:val="28"/>
          <w:szCs w:val="28"/>
        </w:rPr>
        <w:t xml:space="preserve"> or its components are moved.</w:t>
      </w:r>
    </w:p>
    <w:p w14:paraId="134A09D3" w14:textId="77777777" w:rsidR="00D43124" w:rsidRPr="006046D8" w:rsidRDefault="00D43124" w:rsidP="00D43124">
      <w:pPr>
        <w:pStyle w:val="Pa20"/>
        <w:numPr>
          <w:ilvl w:val="0"/>
          <w:numId w:val="1"/>
        </w:numPr>
        <w:spacing w:after="200" w:line="240" w:lineRule="auto"/>
        <w:jc w:val="both"/>
        <w:rPr>
          <w:rFonts w:asciiTheme="minorHAnsi" w:hAnsiTheme="minorHAnsi" w:cstheme="minorHAnsi"/>
          <w:sz w:val="28"/>
          <w:szCs w:val="28"/>
        </w:rPr>
      </w:pPr>
      <w:r w:rsidRPr="006046D8">
        <w:rPr>
          <w:rStyle w:val="A9"/>
          <w:rFonts w:asciiTheme="minorHAnsi" w:hAnsiTheme="minorHAnsi" w:cstheme="minorHAnsi"/>
          <w:sz w:val="28"/>
          <w:szCs w:val="28"/>
        </w:rPr>
        <w:t>Travelling</w:t>
      </w:r>
      <w:r w:rsidRPr="006046D8">
        <w:rPr>
          <w:rStyle w:val="A9"/>
          <w:rFonts w:asciiTheme="minorHAnsi" w:hAnsiTheme="minorHAnsi" w:cstheme="minorHAnsi"/>
          <w:b/>
          <w:bCs/>
          <w:sz w:val="28"/>
          <w:szCs w:val="28"/>
        </w:rPr>
        <w:t xml:space="preserve"> </w:t>
      </w:r>
      <w:r w:rsidRPr="006046D8">
        <w:rPr>
          <w:rStyle w:val="A9"/>
          <w:rFonts w:asciiTheme="minorHAnsi" w:hAnsiTheme="minorHAnsi" w:cstheme="minorHAnsi"/>
          <w:sz w:val="28"/>
          <w:szCs w:val="28"/>
        </w:rPr>
        <w:t>– proper gear selection must be used to maintain control. Drive according to terrain conditions</w:t>
      </w:r>
      <w:r w:rsidRPr="006046D8">
        <w:rPr>
          <w:rFonts w:asciiTheme="minorHAnsi" w:hAnsiTheme="minorHAnsi" w:cstheme="minorHAnsi"/>
          <w:sz w:val="28"/>
          <w:szCs w:val="28"/>
        </w:rPr>
        <w:t xml:space="preserve"> </w:t>
      </w:r>
    </w:p>
    <w:p w14:paraId="47E06D1E" w14:textId="4CCE898C" w:rsidR="00764207" w:rsidRPr="006046D8" w:rsidRDefault="00764207" w:rsidP="00764207">
      <w:pPr>
        <w:pStyle w:val="ListParagraph"/>
        <w:numPr>
          <w:ilvl w:val="0"/>
          <w:numId w:val="1"/>
        </w:numPr>
        <w:spacing w:after="200" w:line="240" w:lineRule="auto"/>
        <w:jc w:val="both"/>
        <w:rPr>
          <w:rFonts w:cstheme="minorHAnsi"/>
          <w:sz w:val="28"/>
          <w:szCs w:val="28"/>
        </w:rPr>
      </w:pPr>
      <w:r w:rsidRPr="006046D8">
        <w:rPr>
          <w:rFonts w:cstheme="minorHAnsi"/>
          <w:sz w:val="28"/>
          <w:szCs w:val="28"/>
        </w:rPr>
        <w:t>Loading/unloading</w:t>
      </w:r>
      <w:r w:rsidRPr="006046D8">
        <w:rPr>
          <w:rFonts w:cstheme="minorHAnsi"/>
          <w:b/>
          <w:bCs/>
          <w:sz w:val="28"/>
          <w:szCs w:val="28"/>
        </w:rPr>
        <w:t xml:space="preserve"> </w:t>
      </w:r>
      <w:r w:rsidRPr="006046D8">
        <w:rPr>
          <w:rFonts w:cstheme="minorHAnsi"/>
          <w:sz w:val="28"/>
          <w:szCs w:val="28"/>
        </w:rPr>
        <w:t xml:space="preserve">– The operator will communicate with the truck driver for proper positioning to ensure safe, </w:t>
      </w:r>
      <w:r w:rsidR="006046D8" w:rsidRPr="006046D8">
        <w:rPr>
          <w:rFonts w:cstheme="minorHAnsi"/>
          <w:sz w:val="28"/>
          <w:szCs w:val="28"/>
        </w:rPr>
        <w:t>efficient,</w:t>
      </w:r>
      <w:r w:rsidRPr="006046D8">
        <w:rPr>
          <w:rFonts w:cstheme="minorHAnsi"/>
          <w:sz w:val="28"/>
          <w:szCs w:val="28"/>
        </w:rPr>
        <w:t xml:space="preserve"> and easy loading.  All efforts are to be made not to load debris, small sticks and rocks that can fall off during transport.</w:t>
      </w:r>
    </w:p>
    <w:p w14:paraId="07C6FF87" w14:textId="77777777" w:rsidR="00764207" w:rsidRPr="006046D8" w:rsidRDefault="00764207" w:rsidP="00764207">
      <w:pPr>
        <w:autoSpaceDE w:val="0"/>
        <w:autoSpaceDN w:val="0"/>
        <w:adjustRightInd w:val="0"/>
        <w:spacing w:after="200" w:line="221" w:lineRule="atLeast"/>
        <w:ind w:left="360"/>
        <w:rPr>
          <w:rFonts w:cstheme="minorHAnsi"/>
          <w:sz w:val="28"/>
          <w:szCs w:val="28"/>
        </w:rPr>
      </w:pPr>
      <w:r w:rsidRPr="006046D8">
        <w:rPr>
          <w:rFonts w:cstheme="minorHAnsi"/>
          <w:sz w:val="28"/>
          <w:szCs w:val="28"/>
        </w:rPr>
        <w:lastRenderedPageBreak/>
        <w:t>The operator must ensure that the load is not over stake height and within legal limits.</w:t>
      </w:r>
    </w:p>
    <w:p w14:paraId="78459988" w14:textId="77777777" w:rsidR="00764207" w:rsidRPr="006046D8" w:rsidRDefault="00764207" w:rsidP="00764207">
      <w:pPr>
        <w:autoSpaceDE w:val="0"/>
        <w:autoSpaceDN w:val="0"/>
        <w:adjustRightInd w:val="0"/>
        <w:spacing w:after="200" w:line="221" w:lineRule="atLeast"/>
        <w:ind w:left="360"/>
        <w:rPr>
          <w:rFonts w:cstheme="minorHAnsi"/>
          <w:sz w:val="28"/>
          <w:szCs w:val="28"/>
        </w:rPr>
      </w:pPr>
      <w:r w:rsidRPr="006046D8">
        <w:rPr>
          <w:rFonts w:cstheme="minorHAnsi"/>
          <w:sz w:val="28"/>
          <w:szCs w:val="28"/>
        </w:rPr>
        <w:t xml:space="preserve">Gravel trucks will be loaded according to conditions and maximum legal requirements. </w:t>
      </w:r>
    </w:p>
    <w:p w14:paraId="33906834" w14:textId="77777777" w:rsidR="006046D8" w:rsidRPr="006046D8" w:rsidRDefault="006046D8" w:rsidP="006046D8">
      <w:pPr>
        <w:pStyle w:val="Idented1"/>
        <w:numPr>
          <w:ilvl w:val="0"/>
          <w:numId w:val="1"/>
        </w:numPr>
        <w:spacing w:after="200"/>
        <w:rPr>
          <w:rStyle w:val="A9"/>
          <w:rFonts w:asciiTheme="minorHAnsi" w:hAnsiTheme="minorHAnsi" w:cstheme="minorHAnsi"/>
          <w:sz w:val="28"/>
          <w:szCs w:val="28"/>
        </w:rPr>
      </w:pPr>
      <w:r w:rsidRPr="006046D8">
        <w:rPr>
          <w:rStyle w:val="A9"/>
          <w:rFonts w:asciiTheme="minorHAnsi" w:hAnsiTheme="minorHAnsi" w:cstheme="minorHAnsi"/>
          <w:sz w:val="28"/>
          <w:szCs w:val="28"/>
        </w:rPr>
        <w:t>Parking</w:t>
      </w:r>
      <w:r w:rsidRPr="006046D8">
        <w:rPr>
          <w:rStyle w:val="A9"/>
          <w:rFonts w:asciiTheme="minorHAnsi" w:hAnsiTheme="minorHAnsi" w:cstheme="minorHAnsi"/>
          <w:b/>
          <w:bCs/>
          <w:sz w:val="28"/>
          <w:szCs w:val="28"/>
        </w:rPr>
        <w:t xml:space="preserve"> </w:t>
      </w:r>
      <w:r w:rsidRPr="006046D8">
        <w:rPr>
          <w:rStyle w:val="A9"/>
          <w:rFonts w:asciiTheme="minorHAnsi" w:hAnsiTheme="minorHAnsi" w:cstheme="minorHAnsi"/>
          <w:sz w:val="28"/>
          <w:szCs w:val="28"/>
        </w:rPr>
        <w:t>– the loader must be parked on level ground, clear of hazards, to allow ease of access.</w:t>
      </w:r>
    </w:p>
    <w:sectPr w:rsidR="006046D8" w:rsidRPr="006046D8" w:rsidSect="000F470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2F6B" w14:textId="63B37A58" w:rsidR="006046D8" w:rsidRDefault="008B7D7B" w:rsidP="006046D8">
    <w:pPr>
      <w:pStyle w:val="Footer"/>
      <w:jc w:val="center"/>
      <w:rPr>
        <w:color w:val="4472C4" w:themeColor="accent1"/>
      </w:rPr>
    </w:pPr>
    <w:r>
      <w:rPr>
        <w:color w:val="4472C4" w:themeColor="accent1"/>
      </w:rPr>
      <w:t>60</w:t>
    </w:r>
    <w:r w:rsidR="006046D8">
      <w:rPr>
        <w:color w:val="4472C4" w:themeColor="accent1"/>
      </w:rPr>
      <w:t xml:space="preserve"> – Loader Operation</w:t>
    </w:r>
  </w:p>
  <w:p w14:paraId="7049060B" w14:textId="77777777" w:rsidR="006046D8" w:rsidRDefault="006046D8" w:rsidP="006046D8">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55BBD46F" w14:textId="77777777" w:rsidR="006046D8" w:rsidRDefault="00604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7670F872" w:rsidR="00DA7601" w:rsidRDefault="008B7D7B">
    <w:pPr>
      <w:pStyle w:val="Footer"/>
      <w:jc w:val="center"/>
      <w:rPr>
        <w:color w:val="4472C4" w:themeColor="accent1"/>
      </w:rPr>
    </w:pPr>
    <w:r>
      <w:rPr>
        <w:color w:val="4472C4" w:themeColor="accent1"/>
      </w:rPr>
      <w:t>60</w:t>
    </w:r>
    <w:r w:rsidR="006046D8">
      <w:rPr>
        <w:color w:val="4472C4" w:themeColor="accent1"/>
      </w:rPr>
      <w:t xml:space="preserve"> – Loader Operation</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12201F4A" w:rsidR="009C6E60" w:rsidRPr="00830C38" w:rsidRDefault="008B7D7B" w:rsidP="009C6E60">
          <w:pPr>
            <w:pStyle w:val="Header"/>
            <w:jc w:val="center"/>
            <w:rPr>
              <w:b/>
              <w:bCs/>
            </w:rPr>
          </w:pPr>
          <w:r>
            <w:rPr>
              <w:b/>
              <w:bCs/>
              <w:sz w:val="96"/>
              <w:szCs w:val="96"/>
            </w:rPr>
            <w:t>60</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790DE9B3" w:rsidR="00747C1E" w:rsidRDefault="00C90D99" w:rsidP="00C90D99">
          <w:pPr>
            <w:pStyle w:val="Header"/>
            <w:jc w:val="right"/>
          </w:pPr>
          <w:r>
            <w:t xml:space="preserve">Created: </w:t>
          </w:r>
          <w:r w:rsidR="00751E01">
            <w:t>04</w:t>
          </w:r>
          <w:r>
            <w:t>/</w:t>
          </w:r>
          <w:r w:rsidR="00751E01">
            <w:t>18</w:t>
          </w:r>
          <w:r>
            <w:t>/</w:t>
          </w:r>
          <w:r w:rsidR="00751E01">
            <w:t>2018</w:t>
          </w:r>
        </w:p>
      </w:tc>
    </w:tr>
  </w:tbl>
  <w:p w14:paraId="5BE83231" w14:textId="054C4B8A" w:rsidR="008F0130" w:rsidRPr="00F37CAE" w:rsidRDefault="00751E01">
    <w:pPr>
      <w:pStyle w:val="Header"/>
      <w:rPr>
        <w:b/>
        <w:bCs/>
        <w:sz w:val="48"/>
        <w:szCs w:val="48"/>
      </w:rPr>
    </w:pPr>
    <w:r>
      <w:rPr>
        <w:b/>
        <w:bCs/>
        <w:sz w:val="48"/>
        <w:szCs w:val="48"/>
      </w:rPr>
      <w:t>Loader Operation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D51F1"/>
    <w:multiLevelType w:val="hybridMultilevel"/>
    <w:tmpl w:val="7A7A0B5A"/>
    <w:lvl w:ilvl="0" w:tplc="ACACB2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BC34A49"/>
    <w:multiLevelType w:val="hybridMultilevel"/>
    <w:tmpl w:val="08B0C94C"/>
    <w:lvl w:ilvl="0" w:tplc="E0386406">
      <w:start w:val="1"/>
      <w:numFmt w:val="decimal"/>
      <w:lvlText w:val="%1."/>
      <w:lvlJc w:val="left"/>
      <w:pPr>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09031955">
    <w:abstractNumId w:val="0"/>
  </w:num>
  <w:num w:numId="2" w16cid:durableId="214383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1A7CF4"/>
    <w:rsid w:val="00380D85"/>
    <w:rsid w:val="003B1355"/>
    <w:rsid w:val="00472DB2"/>
    <w:rsid w:val="00533D91"/>
    <w:rsid w:val="006046D8"/>
    <w:rsid w:val="00650227"/>
    <w:rsid w:val="00651325"/>
    <w:rsid w:val="006A7053"/>
    <w:rsid w:val="006A7D36"/>
    <w:rsid w:val="0071456B"/>
    <w:rsid w:val="00747C1E"/>
    <w:rsid w:val="00751E01"/>
    <w:rsid w:val="00764207"/>
    <w:rsid w:val="00870037"/>
    <w:rsid w:val="008B7D7B"/>
    <w:rsid w:val="008F0130"/>
    <w:rsid w:val="009C6E60"/>
    <w:rsid w:val="009E2B4A"/>
    <w:rsid w:val="00A31EAA"/>
    <w:rsid w:val="00A57AFC"/>
    <w:rsid w:val="00C90D99"/>
    <w:rsid w:val="00CB7BBA"/>
    <w:rsid w:val="00CD1CCD"/>
    <w:rsid w:val="00D43124"/>
    <w:rsid w:val="00D479FC"/>
    <w:rsid w:val="00D6177B"/>
    <w:rsid w:val="00D74633"/>
    <w:rsid w:val="00DA7601"/>
    <w:rsid w:val="00E41E9F"/>
    <w:rsid w:val="00E642C3"/>
    <w:rsid w:val="00E81C13"/>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CCD"/>
    <w:pPr>
      <w:ind w:left="720"/>
      <w:contextualSpacing/>
    </w:pPr>
  </w:style>
  <w:style w:type="character" w:customStyle="1" w:styleId="A9">
    <w:name w:val="A9"/>
    <w:uiPriority w:val="99"/>
    <w:rsid w:val="00D479FC"/>
    <w:rPr>
      <w:rFonts w:ascii="Times New Roman" w:hAnsi="Times New Roman" w:cs="Times New Roman" w:hint="default"/>
      <w:color w:val="000000"/>
      <w:sz w:val="22"/>
      <w:szCs w:val="22"/>
    </w:rPr>
  </w:style>
  <w:style w:type="paragraph" w:customStyle="1" w:styleId="Pa20">
    <w:name w:val="Pa20"/>
    <w:basedOn w:val="Normal"/>
    <w:next w:val="Normal"/>
    <w:uiPriority w:val="99"/>
    <w:rsid w:val="00D43124"/>
    <w:pPr>
      <w:autoSpaceDE w:val="0"/>
      <w:autoSpaceDN w:val="0"/>
      <w:adjustRightInd w:val="0"/>
      <w:spacing w:after="0" w:line="241" w:lineRule="atLeast"/>
    </w:pPr>
    <w:rPr>
      <w:rFonts w:ascii="Arial" w:eastAsia="Calibri" w:hAnsi="Arial" w:cs="Arial"/>
      <w:sz w:val="24"/>
      <w:szCs w:val="24"/>
    </w:rPr>
  </w:style>
  <w:style w:type="paragraph" w:customStyle="1" w:styleId="Idented1">
    <w:name w:val="Idented 1"/>
    <w:basedOn w:val="Normal"/>
    <w:rsid w:val="006046D8"/>
    <w:pPr>
      <w:spacing w:after="240" w:line="240" w:lineRule="auto"/>
      <w:ind w:left="720"/>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36</cp:revision>
  <dcterms:created xsi:type="dcterms:W3CDTF">2021-12-29T22:02:00Z</dcterms:created>
  <dcterms:modified xsi:type="dcterms:W3CDTF">2022-09-20T16:31:00Z</dcterms:modified>
</cp:coreProperties>
</file>