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3F073" w14:textId="77777777" w:rsidR="004226C8" w:rsidRPr="002B5E77" w:rsidRDefault="004226C8" w:rsidP="00CA3D83">
      <w:pPr>
        <w:pStyle w:val="MemoTitle"/>
        <w:jc w:val="center"/>
        <w:rPr>
          <w:rFonts w:asciiTheme="minorBidi" w:hAnsiTheme="minorBidi"/>
          <w:sz w:val="40"/>
          <w:szCs w:val="26"/>
          <w:lang w:val="en-ZA"/>
        </w:rPr>
      </w:pPr>
      <w:r w:rsidRPr="002B5E77">
        <w:rPr>
          <w:rFonts w:asciiTheme="minorBidi" w:hAnsiTheme="minorBidi"/>
          <w:sz w:val="40"/>
          <w:szCs w:val="26"/>
          <w:lang w:val="en-ZA"/>
        </w:rPr>
        <w:t>Information memorandum</w:t>
      </w:r>
    </w:p>
    <w:p w14:paraId="66C05FF4" w14:textId="77777777" w:rsidR="00CA3D83" w:rsidRDefault="00CA3D83" w:rsidP="00CA3D83">
      <w:pPr>
        <w:pStyle w:val="MemoSubtitle"/>
        <w:jc w:val="both"/>
        <w:rPr>
          <w:rFonts w:asciiTheme="minorBidi" w:hAnsiTheme="minorBidi"/>
          <w:sz w:val="22"/>
          <w:lang w:val="en-ZA"/>
        </w:rPr>
      </w:pPr>
    </w:p>
    <w:p w14:paraId="599C67DB" w14:textId="5DA6E587" w:rsidR="004226C8" w:rsidRPr="00CA3D83" w:rsidRDefault="004226C8" w:rsidP="00CA3D83">
      <w:pPr>
        <w:pStyle w:val="MemoSubtitle"/>
        <w:jc w:val="both"/>
        <w:rPr>
          <w:rFonts w:asciiTheme="minorBidi" w:hAnsiTheme="minorBidi"/>
          <w:sz w:val="22"/>
          <w:lang w:val="en-ZA"/>
        </w:rPr>
      </w:pPr>
      <w:r w:rsidRPr="00CA3D83">
        <w:rPr>
          <w:rFonts w:asciiTheme="minorBidi" w:hAnsiTheme="minorBidi"/>
          <w:sz w:val="22"/>
          <w:lang w:val="en-ZA"/>
        </w:rPr>
        <w:t xml:space="preserve">Background to Eskom’s proposed interruption or reduction of bulk electricity supply to </w:t>
      </w:r>
      <w:proofErr w:type="gramStart"/>
      <w:r w:rsidRPr="00CA3D83">
        <w:rPr>
          <w:rFonts w:asciiTheme="minorBidi" w:hAnsiTheme="minorBidi"/>
          <w:sz w:val="22"/>
          <w:lang w:val="en-ZA"/>
        </w:rPr>
        <w:t>Kai !Garib</w:t>
      </w:r>
      <w:proofErr w:type="gramEnd"/>
      <w:r w:rsidRPr="00CA3D83">
        <w:rPr>
          <w:rFonts w:asciiTheme="minorBidi" w:hAnsiTheme="minorBidi"/>
          <w:sz w:val="22"/>
          <w:lang w:val="en-ZA"/>
        </w:rPr>
        <w:t xml:space="preserve"> Local Municipality, and Eskom’s own description of a distribution agency agreement</w:t>
      </w:r>
    </w:p>
    <w:tbl>
      <w:tblPr>
        <w:tblStyle w:val="TableGrid"/>
        <w:tblW w:w="0" w:type="auto"/>
        <w:tblLook w:val="04A0" w:firstRow="1" w:lastRow="0" w:firstColumn="1" w:lastColumn="0" w:noHBand="0" w:noVBand="1"/>
      </w:tblPr>
      <w:tblGrid>
        <w:gridCol w:w="2381"/>
        <w:gridCol w:w="6406"/>
      </w:tblGrid>
      <w:tr w:rsidR="004226C8" w:rsidRPr="002B5E77" w14:paraId="59133459" w14:textId="77777777" w:rsidTr="001876E7">
        <w:tc>
          <w:tcPr>
            <w:tcW w:w="2381" w:type="dxa"/>
            <w:tcMar>
              <w:top w:w="90" w:type="dxa"/>
              <w:left w:w="90" w:type="dxa"/>
              <w:bottom w:w="90" w:type="dxa"/>
              <w:right w:w="90" w:type="dxa"/>
            </w:tcMar>
            <w:vAlign w:val="center"/>
          </w:tcPr>
          <w:p w14:paraId="604934F7" w14:textId="77777777" w:rsidR="004226C8" w:rsidRPr="002B5E77" w:rsidRDefault="004226C8" w:rsidP="001876E7">
            <w:pPr>
              <w:rPr>
                <w:rFonts w:asciiTheme="minorBidi" w:hAnsiTheme="minorBidi"/>
                <w:sz w:val="25"/>
                <w:szCs w:val="26"/>
                <w:lang w:val="en-ZA"/>
              </w:rPr>
            </w:pPr>
            <w:r w:rsidRPr="002B5E77">
              <w:rPr>
                <w:rFonts w:asciiTheme="minorBidi" w:hAnsiTheme="minorBidi"/>
                <w:b/>
                <w:sz w:val="25"/>
                <w:szCs w:val="26"/>
                <w:lang w:val="en-ZA"/>
              </w:rPr>
              <w:t>Prepared for</w:t>
            </w:r>
          </w:p>
        </w:tc>
        <w:tc>
          <w:tcPr>
            <w:tcW w:w="6406" w:type="dxa"/>
            <w:tcMar>
              <w:top w:w="90" w:type="dxa"/>
              <w:left w:w="90" w:type="dxa"/>
              <w:bottom w:w="90" w:type="dxa"/>
              <w:right w:w="90" w:type="dxa"/>
            </w:tcMar>
            <w:vAlign w:val="center"/>
          </w:tcPr>
          <w:p w14:paraId="7381E3F5" w14:textId="77777777" w:rsidR="004226C8" w:rsidRPr="002B5E77" w:rsidRDefault="004226C8" w:rsidP="001876E7">
            <w:pPr>
              <w:rPr>
                <w:rFonts w:asciiTheme="minorBidi" w:hAnsiTheme="minorBidi"/>
                <w:sz w:val="25"/>
                <w:szCs w:val="26"/>
                <w:lang w:val="en-ZA"/>
              </w:rPr>
            </w:pPr>
            <w:r w:rsidRPr="002B5E77">
              <w:rPr>
                <w:rFonts w:asciiTheme="minorBidi" w:hAnsiTheme="minorBidi"/>
                <w:sz w:val="25"/>
                <w:szCs w:val="26"/>
                <w:lang w:val="en-ZA"/>
              </w:rPr>
              <w:t>Discussion with legal counsel</w:t>
            </w:r>
          </w:p>
        </w:tc>
      </w:tr>
      <w:tr w:rsidR="004226C8" w:rsidRPr="002B5E77" w14:paraId="1E0DA528" w14:textId="77777777" w:rsidTr="001876E7">
        <w:tc>
          <w:tcPr>
            <w:tcW w:w="2381" w:type="dxa"/>
            <w:tcMar>
              <w:top w:w="90" w:type="dxa"/>
              <w:left w:w="90" w:type="dxa"/>
              <w:bottom w:w="90" w:type="dxa"/>
              <w:right w:w="90" w:type="dxa"/>
            </w:tcMar>
            <w:vAlign w:val="center"/>
          </w:tcPr>
          <w:p w14:paraId="50CC2E65" w14:textId="77777777" w:rsidR="004226C8" w:rsidRPr="002B5E77" w:rsidRDefault="004226C8" w:rsidP="001876E7">
            <w:pPr>
              <w:rPr>
                <w:rFonts w:asciiTheme="minorBidi" w:hAnsiTheme="minorBidi"/>
                <w:sz w:val="25"/>
                <w:szCs w:val="26"/>
                <w:lang w:val="en-ZA"/>
              </w:rPr>
            </w:pPr>
            <w:r w:rsidRPr="002B5E77">
              <w:rPr>
                <w:rFonts w:asciiTheme="minorBidi" w:hAnsiTheme="minorBidi"/>
                <w:b/>
                <w:sz w:val="25"/>
                <w:szCs w:val="26"/>
                <w:lang w:val="en-ZA"/>
              </w:rPr>
              <w:t>Prepared by</w:t>
            </w:r>
          </w:p>
        </w:tc>
        <w:tc>
          <w:tcPr>
            <w:tcW w:w="6406" w:type="dxa"/>
            <w:tcMar>
              <w:top w:w="90" w:type="dxa"/>
              <w:left w:w="90" w:type="dxa"/>
              <w:bottom w:w="90" w:type="dxa"/>
              <w:right w:w="90" w:type="dxa"/>
            </w:tcMar>
            <w:vAlign w:val="center"/>
          </w:tcPr>
          <w:p w14:paraId="441CC064" w14:textId="55133A0D" w:rsidR="004226C8" w:rsidRPr="002B5E77" w:rsidRDefault="004226C8" w:rsidP="001876E7">
            <w:pPr>
              <w:rPr>
                <w:rFonts w:asciiTheme="minorBidi" w:hAnsiTheme="minorBidi"/>
                <w:sz w:val="25"/>
                <w:szCs w:val="26"/>
                <w:lang w:val="en-ZA"/>
              </w:rPr>
            </w:pPr>
            <w:r w:rsidRPr="002B5E77">
              <w:rPr>
                <w:rFonts w:asciiTheme="minorBidi" w:hAnsiTheme="minorBidi"/>
                <w:sz w:val="25"/>
                <w:szCs w:val="26"/>
                <w:lang w:val="en-ZA"/>
              </w:rPr>
              <w:t>Jaco Visser, chairperson, Kakamas Belangegroep</w:t>
            </w:r>
            <w:r>
              <w:rPr>
                <w:rFonts w:asciiTheme="minorBidi" w:hAnsiTheme="minorBidi"/>
                <w:sz w:val="25"/>
                <w:szCs w:val="26"/>
                <w:lang w:val="en-ZA"/>
              </w:rPr>
              <w:t xml:space="preserve"> (with writing </w:t>
            </w:r>
            <w:r w:rsidR="00CA3D83">
              <w:rPr>
                <w:rFonts w:asciiTheme="minorBidi" w:hAnsiTheme="minorBidi"/>
                <w:sz w:val="25"/>
                <w:szCs w:val="26"/>
                <w:lang w:val="en-ZA"/>
              </w:rPr>
              <w:t xml:space="preserve">and editing </w:t>
            </w:r>
            <w:r>
              <w:rPr>
                <w:rFonts w:asciiTheme="minorBidi" w:hAnsiTheme="minorBidi"/>
                <w:sz w:val="25"/>
                <w:szCs w:val="26"/>
                <w:lang w:val="en-ZA"/>
              </w:rPr>
              <w:t>assistance from an AI LLM)</w:t>
            </w:r>
          </w:p>
        </w:tc>
      </w:tr>
      <w:tr w:rsidR="004226C8" w:rsidRPr="002B5E77" w14:paraId="66D26AFE" w14:textId="77777777" w:rsidTr="001876E7">
        <w:tc>
          <w:tcPr>
            <w:tcW w:w="2381" w:type="dxa"/>
            <w:tcMar>
              <w:top w:w="90" w:type="dxa"/>
              <w:left w:w="90" w:type="dxa"/>
              <w:bottom w:w="90" w:type="dxa"/>
              <w:right w:w="90" w:type="dxa"/>
            </w:tcMar>
            <w:vAlign w:val="center"/>
          </w:tcPr>
          <w:p w14:paraId="0C85A76E" w14:textId="77777777" w:rsidR="004226C8" w:rsidRPr="002B5E77" w:rsidRDefault="004226C8" w:rsidP="001876E7">
            <w:pPr>
              <w:rPr>
                <w:rFonts w:asciiTheme="minorBidi" w:hAnsiTheme="minorBidi"/>
                <w:sz w:val="25"/>
                <w:szCs w:val="26"/>
                <w:lang w:val="en-ZA"/>
              </w:rPr>
            </w:pPr>
            <w:r w:rsidRPr="002B5E77">
              <w:rPr>
                <w:rFonts w:asciiTheme="minorBidi" w:hAnsiTheme="minorBidi"/>
                <w:b/>
                <w:sz w:val="25"/>
                <w:szCs w:val="26"/>
                <w:lang w:val="en-ZA"/>
              </w:rPr>
              <w:t>Date</w:t>
            </w:r>
          </w:p>
        </w:tc>
        <w:tc>
          <w:tcPr>
            <w:tcW w:w="6406" w:type="dxa"/>
            <w:tcMar>
              <w:top w:w="90" w:type="dxa"/>
              <w:left w:w="90" w:type="dxa"/>
              <w:bottom w:w="90" w:type="dxa"/>
              <w:right w:w="90" w:type="dxa"/>
            </w:tcMar>
            <w:vAlign w:val="center"/>
          </w:tcPr>
          <w:p w14:paraId="7E74EDC4" w14:textId="77777777" w:rsidR="004226C8" w:rsidRPr="002B5E77" w:rsidRDefault="004226C8" w:rsidP="001876E7">
            <w:pPr>
              <w:rPr>
                <w:rFonts w:asciiTheme="minorBidi" w:hAnsiTheme="minorBidi"/>
                <w:sz w:val="25"/>
                <w:szCs w:val="26"/>
                <w:lang w:val="en-ZA"/>
              </w:rPr>
            </w:pPr>
            <w:r w:rsidRPr="002B5E77">
              <w:rPr>
                <w:rFonts w:asciiTheme="minorBidi" w:hAnsiTheme="minorBidi"/>
                <w:sz w:val="25"/>
                <w:szCs w:val="26"/>
                <w:lang w:val="en-ZA"/>
              </w:rPr>
              <w:t>30 March 2026</w:t>
            </w:r>
          </w:p>
        </w:tc>
      </w:tr>
      <w:tr w:rsidR="004226C8" w:rsidRPr="002B5E77" w14:paraId="15B6C157" w14:textId="77777777" w:rsidTr="001876E7">
        <w:tc>
          <w:tcPr>
            <w:tcW w:w="2381" w:type="dxa"/>
            <w:tcMar>
              <w:top w:w="90" w:type="dxa"/>
              <w:left w:w="90" w:type="dxa"/>
              <w:bottom w:w="90" w:type="dxa"/>
              <w:right w:w="90" w:type="dxa"/>
            </w:tcMar>
            <w:vAlign w:val="center"/>
          </w:tcPr>
          <w:p w14:paraId="315F769B" w14:textId="77777777" w:rsidR="004226C8" w:rsidRPr="002B5E77" w:rsidRDefault="004226C8" w:rsidP="001876E7">
            <w:pPr>
              <w:rPr>
                <w:rFonts w:asciiTheme="minorBidi" w:hAnsiTheme="minorBidi"/>
                <w:sz w:val="25"/>
                <w:szCs w:val="26"/>
                <w:lang w:val="en-ZA"/>
              </w:rPr>
            </w:pPr>
            <w:r w:rsidRPr="002B5E77">
              <w:rPr>
                <w:rFonts w:asciiTheme="minorBidi" w:hAnsiTheme="minorBidi"/>
                <w:b/>
                <w:sz w:val="25"/>
                <w:szCs w:val="26"/>
                <w:lang w:val="en-ZA"/>
              </w:rPr>
              <w:t>Status</w:t>
            </w:r>
          </w:p>
        </w:tc>
        <w:tc>
          <w:tcPr>
            <w:tcW w:w="6406" w:type="dxa"/>
            <w:tcMar>
              <w:top w:w="90" w:type="dxa"/>
              <w:left w:w="90" w:type="dxa"/>
              <w:bottom w:w="90" w:type="dxa"/>
              <w:right w:w="90" w:type="dxa"/>
            </w:tcMar>
            <w:vAlign w:val="center"/>
          </w:tcPr>
          <w:p w14:paraId="3655D41A" w14:textId="77777777" w:rsidR="004226C8" w:rsidRPr="002B5E77" w:rsidRDefault="004226C8" w:rsidP="001876E7">
            <w:pPr>
              <w:rPr>
                <w:rFonts w:asciiTheme="minorBidi" w:hAnsiTheme="minorBidi"/>
                <w:sz w:val="25"/>
                <w:szCs w:val="26"/>
                <w:lang w:val="en-ZA"/>
              </w:rPr>
            </w:pPr>
            <w:r w:rsidRPr="002B5E77">
              <w:rPr>
                <w:rFonts w:asciiTheme="minorBidi" w:hAnsiTheme="minorBidi"/>
                <w:sz w:val="25"/>
                <w:szCs w:val="26"/>
                <w:lang w:val="en-ZA"/>
              </w:rPr>
              <w:t>General information document; not privileged</w:t>
            </w:r>
          </w:p>
        </w:tc>
      </w:tr>
    </w:tbl>
    <w:p w14:paraId="1F23DC8E" w14:textId="77777777" w:rsidR="004226C8" w:rsidRPr="002B5E77" w:rsidRDefault="004226C8" w:rsidP="004226C8">
      <w:pPr>
        <w:pStyle w:val="Heading1"/>
        <w:rPr>
          <w:rFonts w:asciiTheme="minorBidi" w:hAnsiTheme="minorBidi" w:cstheme="minorBidi"/>
          <w:sz w:val="30"/>
          <w:szCs w:val="32"/>
          <w:lang w:val="en-ZA"/>
        </w:rPr>
      </w:pPr>
      <w:r w:rsidRPr="002B5E77">
        <w:rPr>
          <w:rFonts w:asciiTheme="minorBidi" w:hAnsiTheme="minorBidi" w:cstheme="minorBidi"/>
          <w:sz w:val="30"/>
          <w:szCs w:val="32"/>
          <w:lang w:val="en-ZA"/>
        </w:rPr>
        <w:t>1. Purpose</w:t>
      </w:r>
    </w:p>
    <w:p w14:paraId="3DD10509" w14:textId="77777777" w:rsidR="004226C8" w:rsidRPr="002B5E77" w:rsidRDefault="004226C8" w:rsidP="004226C8">
      <w:pPr>
        <w:jc w:val="both"/>
        <w:rPr>
          <w:rFonts w:asciiTheme="minorBidi" w:hAnsiTheme="minorBidi"/>
          <w:sz w:val="25"/>
          <w:szCs w:val="26"/>
          <w:lang w:val="en-ZA"/>
        </w:rPr>
      </w:pPr>
      <w:r w:rsidRPr="002B5E77">
        <w:rPr>
          <w:rFonts w:asciiTheme="minorBidi" w:hAnsiTheme="minorBidi"/>
          <w:sz w:val="25"/>
          <w:szCs w:val="26"/>
          <w:lang w:val="en-ZA"/>
        </w:rPr>
        <w:t xml:space="preserve">This memorandum is intended as a neutral background document for an explanatory meeting with an attorney. Its purpose is to set out, in summary form, the factual setting in </w:t>
      </w:r>
      <w:proofErr w:type="gramStart"/>
      <w:r w:rsidRPr="002B5E77">
        <w:rPr>
          <w:rFonts w:asciiTheme="minorBidi" w:hAnsiTheme="minorBidi"/>
          <w:sz w:val="25"/>
          <w:szCs w:val="26"/>
          <w:lang w:val="en-ZA"/>
        </w:rPr>
        <w:t>Kai !Garib</w:t>
      </w:r>
      <w:proofErr w:type="gramEnd"/>
      <w:r w:rsidRPr="002B5E77">
        <w:rPr>
          <w:rFonts w:asciiTheme="minorBidi" w:hAnsiTheme="minorBidi"/>
          <w:sz w:val="25"/>
          <w:szCs w:val="26"/>
          <w:lang w:val="en-ZA"/>
        </w:rPr>
        <w:t xml:space="preserve"> Local Municipality, the contents of Eskom’s March 2026 public notice, Eskom’s own explanation of the active partnering, or “distribution agency agreement” model, and the practical circumstances confronting the Kakamas Belangegroep, residents, businesses and agricultural operators. It does not attempt to give legal advice or to reach final legal conclusions.</w:t>
      </w:r>
    </w:p>
    <w:p w14:paraId="16BAEEC2" w14:textId="77777777" w:rsidR="004226C8" w:rsidRPr="002B5E77" w:rsidRDefault="004226C8" w:rsidP="004226C8">
      <w:pPr>
        <w:pStyle w:val="Heading1"/>
        <w:rPr>
          <w:rFonts w:asciiTheme="minorBidi" w:hAnsiTheme="minorBidi" w:cstheme="minorBidi"/>
          <w:sz w:val="30"/>
          <w:szCs w:val="32"/>
          <w:lang w:val="en-ZA"/>
        </w:rPr>
      </w:pPr>
      <w:r w:rsidRPr="002B5E77">
        <w:rPr>
          <w:rFonts w:asciiTheme="minorBidi" w:hAnsiTheme="minorBidi" w:cstheme="minorBidi"/>
          <w:sz w:val="30"/>
          <w:szCs w:val="32"/>
          <w:lang w:val="en-ZA"/>
        </w:rPr>
        <w:t>2. The municipality and community context</w:t>
      </w:r>
    </w:p>
    <w:p w14:paraId="1C663CB4" w14:textId="77777777" w:rsidR="004226C8" w:rsidRPr="002B5E77" w:rsidRDefault="004226C8" w:rsidP="004226C8">
      <w:pPr>
        <w:jc w:val="both"/>
        <w:rPr>
          <w:rFonts w:asciiTheme="minorBidi" w:hAnsiTheme="minorBidi"/>
          <w:sz w:val="25"/>
          <w:szCs w:val="26"/>
          <w:lang w:val="en-ZA"/>
        </w:rPr>
      </w:pPr>
      <w:proofErr w:type="gramStart"/>
      <w:r w:rsidRPr="002B5E77">
        <w:rPr>
          <w:rFonts w:asciiTheme="minorBidi" w:hAnsiTheme="minorBidi"/>
          <w:sz w:val="25"/>
          <w:szCs w:val="26"/>
          <w:lang w:val="en-ZA"/>
        </w:rPr>
        <w:t>Kai !Garib</w:t>
      </w:r>
      <w:proofErr w:type="gramEnd"/>
      <w:r w:rsidRPr="002B5E77">
        <w:rPr>
          <w:rFonts w:asciiTheme="minorBidi" w:hAnsiTheme="minorBidi"/>
          <w:sz w:val="25"/>
          <w:szCs w:val="26"/>
          <w:lang w:val="en-ZA"/>
        </w:rPr>
        <w:t xml:space="preserve"> Local Municipality straddles the Orange River. The municipality includes, among others, the towns of Kakamas, </w:t>
      </w:r>
      <w:proofErr w:type="spellStart"/>
      <w:r w:rsidRPr="002B5E77">
        <w:rPr>
          <w:rFonts w:asciiTheme="minorBidi" w:hAnsiTheme="minorBidi"/>
          <w:sz w:val="25"/>
          <w:szCs w:val="26"/>
          <w:lang w:val="en-ZA"/>
        </w:rPr>
        <w:t>Keimoes</w:t>
      </w:r>
      <w:proofErr w:type="spellEnd"/>
      <w:r w:rsidRPr="002B5E77">
        <w:rPr>
          <w:rFonts w:asciiTheme="minorBidi" w:hAnsiTheme="minorBidi"/>
          <w:sz w:val="25"/>
          <w:szCs w:val="26"/>
          <w:lang w:val="en-ZA"/>
        </w:rPr>
        <w:t xml:space="preserve"> and Kenhardt, together with smaller settlements and hamlets such as </w:t>
      </w:r>
      <w:proofErr w:type="spellStart"/>
      <w:r w:rsidRPr="002B5E77">
        <w:rPr>
          <w:rFonts w:asciiTheme="minorBidi" w:hAnsiTheme="minorBidi"/>
          <w:sz w:val="25"/>
          <w:szCs w:val="26"/>
          <w:lang w:val="en-ZA"/>
        </w:rPr>
        <w:t>Kanoneiland</w:t>
      </w:r>
      <w:proofErr w:type="spellEnd"/>
      <w:r w:rsidRPr="002B5E77">
        <w:rPr>
          <w:rFonts w:asciiTheme="minorBidi" w:hAnsiTheme="minorBidi"/>
          <w:sz w:val="25"/>
          <w:szCs w:val="26"/>
          <w:lang w:val="en-ZA"/>
        </w:rPr>
        <w:t xml:space="preserve">, </w:t>
      </w:r>
      <w:proofErr w:type="spellStart"/>
      <w:r w:rsidRPr="002B5E77">
        <w:rPr>
          <w:rFonts w:asciiTheme="minorBidi" w:hAnsiTheme="minorBidi"/>
          <w:sz w:val="25"/>
          <w:szCs w:val="26"/>
          <w:lang w:val="en-ZA"/>
        </w:rPr>
        <w:t>Raaswater</w:t>
      </w:r>
      <w:proofErr w:type="spellEnd"/>
      <w:r w:rsidRPr="002B5E77">
        <w:rPr>
          <w:rFonts w:asciiTheme="minorBidi" w:hAnsiTheme="minorBidi"/>
          <w:sz w:val="25"/>
          <w:szCs w:val="26"/>
          <w:lang w:val="en-ZA"/>
        </w:rPr>
        <w:t xml:space="preserve">, </w:t>
      </w:r>
      <w:proofErr w:type="spellStart"/>
      <w:r w:rsidRPr="002B5E77">
        <w:rPr>
          <w:rFonts w:asciiTheme="minorBidi" w:hAnsiTheme="minorBidi"/>
          <w:sz w:val="25"/>
          <w:szCs w:val="26"/>
          <w:lang w:val="en-ZA"/>
        </w:rPr>
        <w:t>McTaggerts</w:t>
      </w:r>
      <w:proofErr w:type="spellEnd"/>
      <w:r w:rsidRPr="002B5E77">
        <w:rPr>
          <w:rFonts w:asciiTheme="minorBidi" w:hAnsiTheme="minorBidi"/>
          <w:sz w:val="25"/>
          <w:szCs w:val="26"/>
          <w:lang w:val="en-ZA"/>
        </w:rPr>
        <w:t xml:space="preserve"> Camp, </w:t>
      </w:r>
      <w:proofErr w:type="spellStart"/>
      <w:r w:rsidRPr="002B5E77">
        <w:rPr>
          <w:rFonts w:asciiTheme="minorBidi" w:hAnsiTheme="minorBidi"/>
          <w:sz w:val="25"/>
          <w:szCs w:val="26"/>
          <w:lang w:val="en-ZA"/>
        </w:rPr>
        <w:t>Soverby</w:t>
      </w:r>
      <w:proofErr w:type="spellEnd"/>
      <w:r w:rsidRPr="002B5E77">
        <w:rPr>
          <w:rFonts w:asciiTheme="minorBidi" w:hAnsiTheme="minorBidi"/>
          <w:sz w:val="25"/>
          <w:szCs w:val="26"/>
          <w:lang w:val="en-ZA"/>
        </w:rPr>
        <w:t xml:space="preserve">, </w:t>
      </w:r>
      <w:proofErr w:type="spellStart"/>
      <w:r w:rsidRPr="002B5E77">
        <w:rPr>
          <w:rFonts w:asciiTheme="minorBidi" w:hAnsiTheme="minorBidi"/>
          <w:sz w:val="25"/>
          <w:szCs w:val="26"/>
          <w:lang w:val="en-ZA"/>
        </w:rPr>
        <w:t>Neilersdrift</w:t>
      </w:r>
      <w:proofErr w:type="spellEnd"/>
      <w:r w:rsidRPr="002B5E77">
        <w:rPr>
          <w:rFonts w:asciiTheme="minorBidi" w:hAnsiTheme="minorBidi"/>
          <w:sz w:val="25"/>
          <w:szCs w:val="26"/>
          <w:lang w:val="en-ZA"/>
        </w:rPr>
        <w:t xml:space="preserve">, </w:t>
      </w:r>
      <w:proofErr w:type="spellStart"/>
      <w:r w:rsidRPr="002B5E77">
        <w:rPr>
          <w:rFonts w:asciiTheme="minorBidi" w:hAnsiTheme="minorBidi"/>
          <w:sz w:val="25"/>
          <w:szCs w:val="26"/>
          <w:lang w:val="en-ZA"/>
        </w:rPr>
        <w:t>Lutzburg</w:t>
      </w:r>
      <w:proofErr w:type="spellEnd"/>
      <w:r w:rsidRPr="002B5E77">
        <w:rPr>
          <w:rFonts w:asciiTheme="minorBidi" w:hAnsiTheme="minorBidi"/>
          <w:sz w:val="25"/>
          <w:szCs w:val="26"/>
          <w:lang w:val="en-ZA"/>
        </w:rPr>
        <w:t xml:space="preserve">, Alheit, </w:t>
      </w:r>
      <w:proofErr w:type="spellStart"/>
      <w:r w:rsidRPr="002B5E77">
        <w:rPr>
          <w:rFonts w:asciiTheme="minorBidi" w:hAnsiTheme="minorBidi"/>
          <w:sz w:val="25"/>
          <w:szCs w:val="26"/>
          <w:lang w:val="en-ZA"/>
        </w:rPr>
        <w:t>Augrabies</w:t>
      </w:r>
      <w:proofErr w:type="spellEnd"/>
      <w:r w:rsidRPr="002B5E77">
        <w:rPr>
          <w:rFonts w:asciiTheme="minorBidi" w:hAnsiTheme="minorBidi"/>
          <w:sz w:val="25"/>
          <w:szCs w:val="26"/>
          <w:lang w:val="en-ZA"/>
        </w:rPr>
        <w:t xml:space="preserve">, </w:t>
      </w:r>
      <w:proofErr w:type="spellStart"/>
      <w:r w:rsidRPr="002B5E77">
        <w:rPr>
          <w:rFonts w:asciiTheme="minorBidi" w:hAnsiTheme="minorBidi"/>
          <w:sz w:val="25"/>
          <w:szCs w:val="26"/>
          <w:lang w:val="en-ZA"/>
        </w:rPr>
        <w:t>Cillié</w:t>
      </w:r>
      <w:proofErr w:type="spellEnd"/>
      <w:r w:rsidRPr="002B5E77">
        <w:rPr>
          <w:rFonts w:asciiTheme="minorBidi" w:hAnsiTheme="minorBidi"/>
          <w:sz w:val="25"/>
          <w:szCs w:val="26"/>
          <w:lang w:val="en-ZA"/>
        </w:rPr>
        <w:t xml:space="preserve">, Marchand and </w:t>
      </w:r>
      <w:proofErr w:type="spellStart"/>
      <w:r w:rsidRPr="002B5E77">
        <w:rPr>
          <w:rFonts w:asciiTheme="minorBidi" w:hAnsiTheme="minorBidi"/>
          <w:sz w:val="25"/>
          <w:szCs w:val="26"/>
          <w:lang w:val="en-ZA"/>
        </w:rPr>
        <w:t>Lennertsville</w:t>
      </w:r>
      <w:proofErr w:type="spellEnd"/>
      <w:r w:rsidRPr="002B5E77">
        <w:rPr>
          <w:rFonts w:asciiTheme="minorBidi" w:hAnsiTheme="minorBidi"/>
          <w:sz w:val="25"/>
          <w:szCs w:val="26"/>
          <w:lang w:val="en-ZA"/>
        </w:rPr>
        <w:t>. According to the 2022 Stats SA census, the municipality’s total population is reflected as 85,104 persons in 20,366 households, with an average household size of 4.2. The census data reflects that 91.8% of households use electricity for lighting, 57.7% have piped water in the dwelling, and 49.7% receive weekly refuse removal.</w:t>
      </w:r>
    </w:p>
    <w:p w14:paraId="19339006" w14:textId="5382DFD5" w:rsidR="004226C8" w:rsidRPr="002B5E77" w:rsidRDefault="004226C8" w:rsidP="004226C8">
      <w:pPr>
        <w:jc w:val="both"/>
        <w:rPr>
          <w:rFonts w:asciiTheme="minorBidi" w:hAnsiTheme="minorBidi"/>
          <w:sz w:val="25"/>
          <w:szCs w:val="26"/>
          <w:lang w:val="en-ZA"/>
        </w:rPr>
      </w:pPr>
      <w:r w:rsidRPr="002B5E77">
        <w:rPr>
          <w:rFonts w:asciiTheme="minorBidi" w:hAnsiTheme="minorBidi"/>
          <w:sz w:val="25"/>
          <w:szCs w:val="26"/>
          <w:lang w:val="en-ZA"/>
        </w:rPr>
        <w:t>The census data also reflects a working-age population share of 69.3%, children aged 0</w:t>
      </w:r>
      <w:r w:rsidR="00CA3D83">
        <w:rPr>
          <w:rFonts w:asciiTheme="minorBidi" w:hAnsiTheme="minorBidi"/>
          <w:sz w:val="25"/>
          <w:szCs w:val="26"/>
          <w:lang w:val="en-ZA"/>
        </w:rPr>
        <w:t>–</w:t>
      </w:r>
      <w:r w:rsidRPr="002B5E77">
        <w:rPr>
          <w:rFonts w:asciiTheme="minorBidi" w:hAnsiTheme="minorBidi"/>
          <w:sz w:val="25"/>
          <w:szCs w:val="26"/>
          <w:lang w:val="en-ZA"/>
        </w:rPr>
        <w:t>14 years at 25%, persons aged 65 years and older at 5.7%, and a dependency ratio of 44.3. These figures matter in the present context because they show a municipality with substantial dependence on household services and municipal infrastructure, rather than a small or incidental customer base.</w:t>
      </w:r>
    </w:p>
    <w:p w14:paraId="6A28E65B" w14:textId="77777777" w:rsidR="004226C8" w:rsidRPr="002B5E77" w:rsidRDefault="004226C8" w:rsidP="004226C8">
      <w:pPr>
        <w:jc w:val="both"/>
        <w:rPr>
          <w:rFonts w:asciiTheme="minorBidi" w:hAnsiTheme="minorBidi"/>
          <w:sz w:val="25"/>
          <w:szCs w:val="26"/>
          <w:lang w:val="en-ZA"/>
        </w:rPr>
      </w:pPr>
      <w:r w:rsidRPr="002B5E77">
        <w:rPr>
          <w:rFonts w:asciiTheme="minorBidi" w:hAnsiTheme="minorBidi"/>
          <w:sz w:val="25"/>
          <w:szCs w:val="26"/>
          <w:lang w:val="en-ZA"/>
        </w:rPr>
        <w:t xml:space="preserve">The Belangegroep’s instruction is that many farms in the area rely on electricity for pumped irrigation, boreholes, cold rooms, packhouse operations and associated agricultural logistics. The towns of Kakamas and </w:t>
      </w:r>
      <w:proofErr w:type="spellStart"/>
      <w:r w:rsidRPr="002B5E77">
        <w:rPr>
          <w:rFonts w:asciiTheme="minorBidi" w:hAnsiTheme="minorBidi"/>
          <w:sz w:val="25"/>
          <w:szCs w:val="26"/>
          <w:lang w:val="en-ZA"/>
        </w:rPr>
        <w:t>Keimoes</w:t>
      </w:r>
      <w:proofErr w:type="spellEnd"/>
      <w:r w:rsidRPr="002B5E77">
        <w:rPr>
          <w:rFonts w:asciiTheme="minorBidi" w:hAnsiTheme="minorBidi"/>
          <w:sz w:val="25"/>
          <w:szCs w:val="26"/>
          <w:lang w:val="en-ZA"/>
        </w:rPr>
        <w:t xml:space="preserve">, although municipal in electricity supply terms, also act as food, security and health-service points for </w:t>
      </w:r>
      <w:r w:rsidRPr="002B5E77">
        <w:rPr>
          <w:rFonts w:asciiTheme="minorBidi" w:hAnsiTheme="minorBidi"/>
          <w:sz w:val="25"/>
          <w:szCs w:val="26"/>
          <w:lang w:val="en-ZA"/>
        </w:rPr>
        <w:lastRenderedPageBreak/>
        <w:t xml:space="preserve">roughly 20,000 seasonal workers who are present from late April until the end of February for the harvesting and related handling of table grapes, raisins and citrus. It is further instructed that water cannot be pumped to </w:t>
      </w:r>
      <w:proofErr w:type="spellStart"/>
      <w:r w:rsidRPr="002B5E77">
        <w:rPr>
          <w:rFonts w:asciiTheme="minorBidi" w:hAnsiTheme="minorBidi"/>
          <w:sz w:val="25"/>
          <w:szCs w:val="26"/>
          <w:lang w:val="en-ZA"/>
        </w:rPr>
        <w:t>Kenhardt</w:t>
      </w:r>
      <w:proofErr w:type="spellEnd"/>
      <w:r w:rsidRPr="002B5E77">
        <w:rPr>
          <w:rFonts w:asciiTheme="minorBidi" w:hAnsiTheme="minorBidi"/>
          <w:sz w:val="25"/>
          <w:szCs w:val="26"/>
          <w:lang w:val="en-ZA"/>
        </w:rPr>
        <w:t xml:space="preserve"> from </w:t>
      </w:r>
      <w:proofErr w:type="spellStart"/>
      <w:r w:rsidRPr="002B5E77">
        <w:rPr>
          <w:rFonts w:asciiTheme="minorBidi" w:hAnsiTheme="minorBidi"/>
          <w:sz w:val="25"/>
          <w:szCs w:val="26"/>
          <w:lang w:val="en-ZA"/>
        </w:rPr>
        <w:t>Lennertsville</w:t>
      </w:r>
      <w:proofErr w:type="spellEnd"/>
      <w:r w:rsidRPr="002B5E77">
        <w:rPr>
          <w:rFonts w:asciiTheme="minorBidi" w:hAnsiTheme="minorBidi"/>
          <w:sz w:val="25"/>
          <w:szCs w:val="26"/>
          <w:lang w:val="en-ZA"/>
        </w:rPr>
        <w:t xml:space="preserve"> without electricity; that mobile phone services fail after approximately one hour of power interruption; that some settlements experience prolonged and intermittent water interruptions with irregular tanker support; and that in some towns, including Kakamas, electricity is required to pump sewerage to the wastewater works.</w:t>
      </w:r>
    </w:p>
    <w:p w14:paraId="3E1A2965" w14:textId="77777777" w:rsidR="004226C8" w:rsidRPr="002B5E77" w:rsidRDefault="004226C8" w:rsidP="004226C8">
      <w:pPr>
        <w:jc w:val="both"/>
        <w:rPr>
          <w:rFonts w:asciiTheme="minorBidi" w:hAnsiTheme="minorBidi"/>
          <w:sz w:val="25"/>
          <w:szCs w:val="26"/>
          <w:lang w:val="en-ZA"/>
        </w:rPr>
      </w:pPr>
      <w:r w:rsidRPr="002B5E77">
        <w:rPr>
          <w:rFonts w:asciiTheme="minorBidi" w:hAnsiTheme="minorBidi"/>
          <w:sz w:val="25"/>
          <w:szCs w:val="26"/>
          <w:lang w:val="en-ZA"/>
        </w:rPr>
        <w:t>On that factual footing, electricity supply is not merely a commercial convenience. It is presented as part of the operational base for domestic water access, sewerage disposal, communications, agricultural production, food handling, retail trade, health access and day-to-day public order.</w:t>
      </w:r>
    </w:p>
    <w:p w14:paraId="0CB2D698" w14:textId="77777777" w:rsidR="004226C8" w:rsidRPr="002B5E77" w:rsidRDefault="004226C8" w:rsidP="004226C8">
      <w:pPr>
        <w:pStyle w:val="Heading1"/>
        <w:rPr>
          <w:rFonts w:asciiTheme="minorBidi" w:hAnsiTheme="minorBidi" w:cstheme="minorBidi"/>
          <w:sz w:val="30"/>
          <w:szCs w:val="32"/>
          <w:lang w:val="en-ZA"/>
        </w:rPr>
      </w:pPr>
      <w:r w:rsidRPr="002B5E77">
        <w:rPr>
          <w:rFonts w:asciiTheme="minorBidi" w:hAnsiTheme="minorBidi" w:cstheme="minorBidi"/>
          <w:sz w:val="30"/>
          <w:szCs w:val="32"/>
          <w:lang w:val="en-ZA"/>
        </w:rPr>
        <w:t>3. The Belangegroep and its standing in the matter</w:t>
      </w:r>
    </w:p>
    <w:p w14:paraId="43DF42F6" w14:textId="77777777" w:rsidR="004226C8" w:rsidRPr="002B5E77" w:rsidRDefault="004226C8" w:rsidP="004226C8">
      <w:pPr>
        <w:jc w:val="both"/>
        <w:rPr>
          <w:rFonts w:asciiTheme="minorBidi" w:hAnsiTheme="minorBidi"/>
          <w:sz w:val="25"/>
          <w:szCs w:val="26"/>
          <w:lang w:val="en-ZA"/>
        </w:rPr>
      </w:pPr>
      <w:r w:rsidRPr="002B5E77">
        <w:rPr>
          <w:rFonts w:asciiTheme="minorBidi" w:hAnsiTheme="minorBidi"/>
          <w:sz w:val="25"/>
          <w:szCs w:val="26"/>
          <w:lang w:val="en-ZA"/>
        </w:rPr>
        <w:t xml:space="preserve">The Kakamas Belangegroep is a voluntary association with its own legal personality. Its constitution records, among other things, that it exists to act representatively for its members in relation to the municipality, provincial and national government and other institutions; to </w:t>
      </w:r>
      <w:proofErr w:type="gramStart"/>
      <w:r w:rsidRPr="002B5E77">
        <w:rPr>
          <w:rFonts w:asciiTheme="minorBidi" w:hAnsiTheme="minorBidi"/>
          <w:sz w:val="25"/>
          <w:szCs w:val="26"/>
          <w:lang w:val="en-ZA"/>
        </w:rPr>
        <w:t>provide assistance</w:t>
      </w:r>
      <w:proofErr w:type="gramEnd"/>
      <w:r w:rsidRPr="002B5E77">
        <w:rPr>
          <w:rFonts w:asciiTheme="minorBidi" w:hAnsiTheme="minorBidi"/>
          <w:sz w:val="25"/>
          <w:szCs w:val="26"/>
          <w:lang w:val="en-ZA"/>
        </w:rPr>
        <w:t xml:space="preserve"> and recommendations on municipal matters affecting members; to disseminate information on municipal matters; and to promote matters that are to the benefit of the association. The constitution also records that the association may sue and be sued in its own name, and that its committee may </w:t>
      </w:r>
      <w:proofErr w:type="gramStart"/>
      <w:r w:rsidRPr="002B5E77">
        <w:rPr>
          <w:rFonts w:asciiTheme="minorBidi" w:hAnsiTheme="minorBidi"/>
          <w:sz w:val="25"/>
          <w:szCs w:val="26"/>
          <w:lang w:val="en-ZA"/>
        </w:rPr>
        <w:t>enter into</w:t>
      </w:r>
      <w:proofErr w:type="gramEnd"/>
      <w:r w:rsidRPr="002B5E77">
        <w:rPr>
          <w:rFonts w:asciiTheme="minorBidi" w:hAnsiTheme="minorBidi"/>
          <w:sz w:val="25"/>
          <w:szCs w:val="26"/>
          <w:lang w:val="en-ZA"/>
        </w:rPr>
        <w:t xml:space="preserve"> litigation to defend any claim or protect any right.</w:t>
      </w:r>
    </w:p>
    <w:p w14:paraId="6718A49E" w14:textId="77777777" w:rsidR="004226C8" w:rsidRPr="002B5E77" w:rsidRDefault="004226C8" w:rsidP="004226C8">
      <w:pPr>
        <w:jc w:val="both"/>
        <w:rPr>
          <w:rFonts w:asciiTheme="minorBidi" w:hAnsiTheme="minorBidi"/>
          <w:sz w:val="25"/>
          <w:szCs w:val="26"/>
          <w:lang w:val="en-ZA"/>
        </w:rPr>
      </w:pPr>
      <w:r w:rsidRPr="002B5E77">
        <w:rPr>
          <w:rFonts w:asciiTheme="minorBidi" w:hAnsiTheme="minorBidi"/>
          <w:sz w:val="25"/>
          <w:szCs w:val="26"/>
          <w:lang w:val="en-ZA"/>
        </w:rPr>
        <w:t>The Kakamas Belangegroep began informally in 2017 and was formalised in November 2018, and that it has for years engaged with municipal service-delivery failures, including electricity and water matters.</w:t>
      </w:r>
    </w:p>
    <w:p w14:paraId="377025A7" w14:textId="77777777" w:rsidR="004226C8" w:rsidRPr="002B5E77" w:rsidRDefault="004226C8" w:rsidP="004226C8">
      <w:pPr>
        <w:pStyle w:val="Heading1"/>
        <w:rPr>
          <w:rFonts w:asciiTheme="minorBidi" w:hAnsiTheme="minorBidi" w:cstheme="minorBidi"/>
          <w:sz w:val="30"/>
          <w:szCs w:val="32"/>
          <w:lang w:val="en-ZA"/>
        </w:rPr>
      </w:pPr>
      <w:r w:rsidRPr="002B5E77">
        <w:rPr>
          <w:rFonts w:asciiTheme="minorBidi" w:hAnsiTheme="minorBidi" w:cstheme="minorBidi"/>
          <w:sz w:val="30"/>
          <w:szCs w:val="32"/>
          <w:lang w:val="en-ZA"/>
        </w:rPr>
        <w:t>4. Eskom’s public notice of March 2026</w:t>
      </w:r>
    </w:p>
    <w:p w14:paraId="646152DB" w14:textId="77777777" w:rsidR="004226C8" w:rsidRPr="002B5E77" w:rsidRDefault="004226C8" w:rsidP="004226C8">
      <w:pPr>
        <w:jc w:val="both"/>
        <w:rPr>
          <w:rFonts w:asciiTheme="minorBidi" w:hAnsiTheme="minorBidi"/>
          <w:sz w:val="25"/>
          <w:szCs w:val="26"/>
          <w:lang w:val="en-ZA"/>
        </w:rPr>
      </w:pPr>
      <w:r w:rsidRPr="002B5E77">
        <w:rPr>
          <w:rFonts w:asciiTheme="minorBidi" w:hAnsiTheme="minorBidi"/>
          <w:sz w:val="25"/>
          <w:szCs w:val="26"/>
          <w:lang w:val="en-ZA"/>
        </w:rPr>
        <w:t>The only formal public communication presently available to the Belangegroep and affected residents is Eskom’s published notice dated 12 March 2026. No municipal communication to residents has been supplied.</w:t>
      </w:r>
    </w:p>
    <w:p w14:paraId="04B47793" w14:textId="77777777" w:rsidR="004226C8" w:rsidRPr="002B5E77" w:rsidRDefault="004226C8" w:rsidP="004226C8">
      <w:pPr>
        <w:jc w:val="both"/>
        <w:rPr>
          <w:rFonts w:asciiTheme="minorBidi" w:hAnsiTheme="minorBidi"/>
          <w:sz w:val="25"/>
          <w:szCs w:val="26"/>
          <w:lang w:val="en-ZA"/>
        </w:rPr>
      </w:pPr>
      <w:r w:rsidRPr="002B5E77">
        <w:rPr>
          <w:rFonts w:asciiTheme="minorBidi" w:hAnsiTheme="minorBidi"/>
          <w:sz w:val="25"/>
          <w:szCs w:val="26"/>
          <w:lang w:val="en-ZA"/>
        </w:rPr>
        <w:t xml:space="preserve">In that notice Eskom states that it intends to interrupt or reduce the bulk electricity supply to </w:t>
      </w:r>
      <w:proofErr w:type="gramStart"/>
      <w:r w:rsidRPr="002B5E77">
        <w:rPr>
          <w:rFonts w:asciiTheme="minorBidi" w:hAnsiTheme="minorBidi"/>
          <w:sz w:val="25"/>
          <w:szCs w:val="26"/>
          <w:lang w:val="en-ZA"/>
        </w:rPr>
        <w:t>Kai !Garib</w:t>
      </w:r>
      <w:proofErr w:type="gramEnd"/>
      <w:r w:rsidRPr="002B5E77">
        <w:rPr>
          <w:rFonts w:asciiTheme="minorBidi" w:hAnsiTheme="minorBidi"/>
          <w:sz w:val="25"/>
          <w:szCs w:val="26"/>
          <w:lang w:val="en-ZA"/>
        </w:rPr>
        <w:t xml:space="preserve"> Local Municipality with effect from 8 May 2026 because of unpaid bulk electricity charges. The notice records an amount of R1,036,217,744.62 as owing to Eskom. It identifies </w:t>
      </w:r>
      <w:proofErr w:type="spellStart"/>
      <w:r w:rsidRPr="002B5E77">
        <w:rPr>
          <w:rFonts w:asciiTheme="minorBidi" w:hAnsiTheme="minorBidi"/>
          <w:sz w:val="25"/>
          <w:szCs w:val="26"/>
          <w:lang w:val="en-ZA"/>
        </w:rPr>
        <w:t>Keimoes</w:t>
      </w:r>
      <w:proofErr w:type="spellEnd"/>
      <w:r w:rsidRPr="002B5E77">
        <w:rPr>
          <w:rFonts w:asciiTheme="minorBidi" w:hAnsiTheme="minorBidi"/>
          <w:sz w:val="25"/>
          <w:szCs w:val="26"/>
          <w:lang w:val="en-ZA"/>
        </w:rPr>
        <w:t xml:space="preserve">, Kakamas and </w:t>
      </w:r>
      <w:proofErr w:type="spellStart"/>
      <w:r w:rsidRPr="002B5E77">
        <w:rPr>
          <w:rFonts w:asciiTheme="minorBidi" w:hAnsiTheme="minorBidi"/>
          <w:sz w:val="25"/>
          <w:szCs w:val="26"/>
          <w:lang w:val="en-ZA"/>
        </w:rPr>
        <w:t>Kenhardt</w:t>
      </w:r>
      <w:proofErr w:type="spellEnd"/>
      <w:r w:rsidRPr="002B5E77">
        <w:rPr>
          <w:rFonts w:asciiTheme="minorBidi" w:hAnsiTheme="minorBidi"/>
          <w:sz w:val="25"/>
          <w:szCs w:val="26"/>
          <w:lang w:val="en-ZA"/>
        </w:rPr>
        <w:t xml:space="preserve"> as affected points of supply and invites written statements, comments and representations by 13 April 2026. Eskom states that it will consider such public representations and make a final decision by 24 April 2026.</w:t>
      </w:r>
    </w:p>
    <w:p w14:paraId="1A5BF7FB" w14:textId="77777777" w:rsidR="004226C8" w:rsidRPr="002B5E77" w:rsidRDefault="004226C8" w:rsidP="004226C8">
      <w:pPr>
        <w:jc w:val="both"/>
        <w:rPr>
          <w:rFonts w:asciiTheme="minorBidi" w:hAnsiTheme="minorBidi"/>
          <w:sz w:val="25"/>
          <w:szCs w:val="26"/>
          <w:lang w:val="en-ZA"/>
        </w:rPr>
      </w:pPr>
      <w:r w:rsidRPr="002B5E77">
        <w:rPr>
          <w:rFonts w:asciiTheme="minorBidi" w:hAnsiTheme="minorBidi"/>
          <w:sz w:val="25"/>
          <w:szCs w:val="26"/>
          <w:lang w:val="en-ZA"/>
        </w:rPr>
        <w:t>The notice further states that National Treasury informed the municipality on 22</w:t>
      </w:r>
      <w:r>
        <w:rPr>
          <w:rFonts w:asciiTheme="minorBidi" w:hAnsiTheme="minorBidi"/>
          <w:sz w:val="25"/>
          <w:szCs w:val="26"/>
          <w:lang w:val="en-ZA"/>
        </w:rPr>
        <w:t> </w:t>
      </w:r>
      <w:r w:rsidRPr="002B5E77">
        <w:rPr>
          <w:rFonts w:asciiTheme="minorBidi" w:hAnsiTheme="minorBidi"/>
          <w:sz w:val="25"/>
          <w:szCs w:val="26"/>
          <w:lang w:val="en-ZA"/>
        </w:rPr>
        <w:t xml:space="preserve">February 2026 that its debt-relief participation would end on 1 April 2026 unless the municipal council resolved by 27 March 2026 to conclude a distribution agency agreement </w:t>
      </w:r>
      <w:r>
        <w:rPr>
          <w:rFonts w:asciiTheme="minorBidi" w:hAnsiTheme="minorBidi"/>
          <w:sz w:val="25"/>
          <w:szCs w:val="26"/>
          <w:lang w:val="en-ZA"/>
        </w:rPr>
        <w:t xml:space="preserve">(DAA) </w:t>
      </w:r>
      <w:r w:rsidRPr="002B5E77">
        <w:rPr>
          <w:rFonts w:asciiTheme="minorBidi" w:hAnsiTheme="minorBidi"/>
          <w:sz w:val="25"/>
          <w:szCs w:val="26"/>
          <w:lang w:val="en-ZA"/>
        </w:rPr>
        <w:t xml:space="preserve">with Eskom. The notice describes the DAA as one of the </w:t>
      </w:r>
      <w:r w:rsidRPr="002B5E77">
        <w:rPr>
          <w:rFonts w:asciiTheme="minorBidi" w:hAnsiTheme="minorBidi"/>
          <w:sz w:val="25"/>
          <w:szCs w:val="26"/>
          <w:lang w:val="en-ZA"/>
        </w:rPr>
        <w:lastRenderedPageBreak/>
        <w:t>intervention measures coordinated through the applicable intergovernmental debt-relief framework.</w:t>
      </w:r>
    </w:p>
    <w:p w14:paraId="554506CA" w14:textId="77777777" w:rsidR="004226C8" w:rsidRPr="002B5E77" w:rsidRDefault="004226C8" w:rsidP="004226C8">
      <w:pPr>
        <w:jc w:val="both"/>
        <w:rPr>
          <w:rFonts w:asciiTheme="minorBidi" w:hAnsiTheme="minorBidi"/>
          <w:sz w:val="25"/>
          <w:szCs w:val="26"/>
          <w:lang w:val="en-ZA"/>
        </w:rPr>
      </w:pPr>
      <w:r w:rsidRPr="002B5E77">
        <w:rPr>
          <w:rFonts w:asciiTheme="minorBidi" w:hAnsiTheme="minorBidi"/>
          <w:sz w:val="25"/>
          <w:szCs w:val="26"/>
          <w:lang w:val="en-ZA"/>
        </w:rPr>
        <w:t>The notice then sets out three remedial pathways said to be available under the Electricity Regulation Act framework, namely: (a) conclusion of a DAA by the relevant date; (b) a prepayment arrangement under which Eskom would only switch the municipality on to the level of electricity it could afford; or (c) an arrangement in terms of which municipal customers make direct payments to Eskom for electricity consumed on the Eskom tariff.</w:t>
      </w:r>
    </w:p>
    <w:p w14:paraId="54224C79" w14:textId="77777777" w:rsidR="004226C8" w:rsidRPr="002B5E77" w:rsidRDefault="004226C8" w:rsidP="004226C8">
      <w:pPr>
        <w:pStyle w:val="Heading1"/>
        <w:rPr>
          <w:rFonts w:asciiTheme="minorBidi" w:hAnsiTheme="minorBidi" w:cstheme="minorBidi"/>
          <w:sz w:val="30"/>
          <w:szCs w:val="32"/>
          <w:lang w:val="en-ZA"/>
        </w:rPr>
      </w:pPr>
      <w:r w:rsidRPr="002B5E77">
        <w:rPr>
          <w:rFonts w:asciiTheme="minorBidi" w:hAnsiTheme="minorBidi" w:cstheme="minorBidi"/>
          <w:sz w:val="30"/>
          <w:szCs w:val="32"/>
          <w:lang w:val="en-ZA"/>
        </w:rPr>
        <w:t>5. Eskom’s own explanation of active partnering and the DAA model</w:t>
      </w:r>
    </w:p>
    <w:p w14:paraId="42DC96AC" w14:textId="77777777" w:rsidR="004226C8" w:rsidRPr="002B5E77" w:rsidRDefault="004226C8" w:rsidP="004226C8">
      <w:pPr>
        <w:jc w:val="both"/>
        <w:rPr>
          <w:rFonts w:asciiTheme="minorBidi" w:hAnsiTheme="minorBidi"/>
          <w:sz w:val="25"/>
          <w:szCs w:val="26"/>
          <w:lang w:val="en-ZA"/>
        </w:rPr>
      </w:pPr>
      <w:r w:rsidRPr="002B5E77">
        <w:rPr>
          <w:rFonts w:asciiTheme="minorBidi" w:hAnsiTheme="minorBidi"/>
          <w:sz w:val="25"/>
          <w:szCs w:val="26"/>
          <w:lang w:val="en-ZA"/>
        </w:rPr>
        <w:t xml:space="preserve">Eskom’s Distribution ‘Active Partnering’ </w:t>
      </w:r>
      <w:r>
        <w:rPr>
          <w:rFonts w:asciiTheme="minorBidi" w:hAnsiTheme="minorBidi"/>
          <w:sz w:val="25"/>
          <w:szCs w:val="26"/>
          <w:lang w:val="en-ZA"/>
        </w:rPr>
        <w:t>web</w:t>
      </w:r>
      <w:r w:rsidRPr="002B5E77">
        <w:rPr>
          <w:rFonts w:asciiTheme="minorBidi" w:hAnsiTheme="minorBidi"/>
          <w:sz w:val="25"/>
          <w:szCs w:val="26"/>
          <w:lang w:val="en-ZA"/>
        </w:rPr>
        <w:t>page is important because it gives Eskom’s own public description of what such a partnership entails. Eskom describes active partnering as support to redistributors and large power users through a broad suite of engineering, operational, financial and supply-chain services, including maintenance and operations, technical skills development, billing, meter audits, revenue management and collection, vendor management and network planning.</w:t>
      </w:r>
      <w:r>
        <w:rPr>
          <w:rFonts w:asciiTheme="minorBidi" w:hAnsiTheme="minorBidi"/>
          <w:sz w:val="25"/>
          <w:szCs w:val="26"/>
          <w:lang w:val="en-ZA"/>
        </w:rPr>
        <w:t xml:space="preserve"> (See: </w:t>
      </w:r>
      <w:hyperlink r:id="rId7" w:history="1">
        <w:r w:rsidRPr="00F15973">
          <w:rPr>
            <w:rStyle w:val="Hyperlink"/>
            <w:rFonts w:asciiTheme="minorBidi" w:hAnsiTheme="minorBidi"/>
            <w:sz w:val="25"/>
            <w:szCs w:val="26"/>
            <w:lang w:val="en-ZA"/>
          </w:rPr>
          <w:t>https://www.eskom.co.za/distribution/active-partnering/</w:t>
        </w:r>
      </w:hyperlink>
      <w:r>
        <w:rPr>
          <w:rFonts w:asciiTheme="minorBidi" w:hAnsiTheme="minorBidi"/>
          <w:sz w:val="25"/>
          <w:szCs w:val="26"/>
          <w:lang w:val="en-ZA"/>
        </w:rPr>
        <w:t xml:space="preserve">.) </w:t>
      </w:r>
    </w:p>
    <w:p w14:paraId="238D20B9" w14:textId="77777777" w:rsidR="004226C8" w:rsidRPr="002B5E77" w:rsidRDefault="004226C8" w:rsidP="004226C8">
      <w:pPr>
        <w:jc w:val="both"/>
        <w:rPr>
          <w:rFonts w:asciiTheme="minorBidi" w:hAnsiTheme="minorBidi"/>
          <w:sz w:val="25"/>
          <w:szCs w:val="26"/>
          <w:lang w:val="en-ZA"/>
        </w:rPr>
      </w:pPr>
      <w:r w:rsidRPr="002B5E77">
        <w:rPr>
          <w:rFonts w:asciiTheme="minorBidi" w:hAnsiTheme="minorBidi"/>
          <w:sz w:val="25"/>
          <w:szCs w:val="26"/>
          <w:lang w:val="en-ZA"/>
        </w:rPr>
        <w:t>Most important for present purposes is Eskom’s FAQ section dealing specifically with the Maluti-a-</w:t>
      </w:r>
      <w:proofErr w:type="spellStart"/>
      <w:r w:rsidRPr="002B5E77">
        <w:rPr>
          <w:rFonts w:asciiTheme="minorBidi" w:hAnsiTheme="minorBidi"/>
          <w:sz w:val="25"/>
          <w:szCs w:val="26"/>
          <w:lang w:val="en-ZA"/>
        </w:rPr>
        <w:t>Phofung</w:t>
      </w:r>
      <w:proofErr w:type="spellEnd"/>
      <w:r w:rsidRPr="002B5E77">
        <w:rPr>
          <w:rFonts w:asciiTheme="minorBidi" w:hAnsiTheme="minorBidi"/>
          <w:sz w:val="25"/>
          <w:szCs w:val="26"/>
          <w:lang w:val="en-ZA"/>
        </w:rPr>
        <w:t xml:space="preserve"> </w:t>
      </w:r>
      <w:r>
        <w:rPr>
          <w:rFonts w:asciiTheme="minorBidi" w:hAnsiTheme="minorBidi"/>
          <w:sz w:val="25"/>
          <w:szCs w:val="26"/>
          <w:lang w:val="en-ZA"/>
        </w:rPr>
        <w:t xml:space="preserve">Local Municipality (Harrismith and surrounds) </w:t>
      </w:r>
      <w:r w:rsidRPr="002B5E77">
        <w:rPr>
          <w:rFonts w:asciiTheme="minorBidi" w:hAnsiTheme="minorBidi"/>
          <w:sz w:val="25"/>
          <w:szCs w:val="26"/>
          <w:lang w:val="en-ZA"/>
        </w:rPr>
        <w:t xml:space="preserve">model. Eskom states there that active partnering allows Eskom to provide a municipality with ‘a suit[e] of engineering and revenue collection services’ while the municipality ‘still owns the distribution license and the customer base’. Eskom also says that, in essence, there is no difference between an SLA, SDA and a Distribution Agency Agreement, and that these are all service agreements, with section 28 of the Electricity Regulation Act allowing a municipality to </w:t>
      </w:r>
      <w:proofErr w:type="gramStart"/>
      <w:r w:rsidRPr="002B5E77">
        <w:rPr>
          <w:rFonts w:asciiTheme="minorBidi" w:hAnsiTheme="minorBidi"/>
          <w:sz w:val="25"/>
          <w:szCs w:val="26"/>
          <w:lang w:val="en-ZA"/>
        </w:rPr>
        <w:t>enter into</w:t>
      </w:r>
      <w:proofErr w:type="gramEnd"/>
      <w:r w:rsidRPr="002B5E77">
        <w:rPr>
          <w:rFonts w:asciiTheme="minorBidi" w:hAnsiTheme="minorBidi"/>
          <w:sz w:val="25"/>
          <w:szCs w:val="26"/>
          <w:lang w:val="en-ZA"/>
        </w:rPr>
        <w:t xml:space="preserve"> a service-delivery arrangement with a service provider. </w:t>
      </w:r>
      <w:r>
        <w:rPr>
          <w:rFonts w:asciiTheme="minorBidi" w:hAnsiTheme="minorBidi"/>
          <w:sz w:val="25"/>
          <w:szCs w:val="26"/>
          <w:lang w:val="en-ZA"/>
        </w:rPr>
        <w:t xml:space="preserve">(See: </w:t>
      </w:r>
      <w:hyperlink r:id="rId8" w:history="1">
        <w:r w:rsidRPr="00F15973">
          <w:rPr>
            <w:rStyle w:val="Hyperlink"/>
            <w:rFonts w:asciiTheme="minorBidi" w:hAnsiTheme="minorBidi"/>
            <w:sz w:val="25"/>
            <w:szCs w:val="26"/>
            <w:lang w:val="en-ZA"/>
          </w:rPr>
          <w:t>https://www.eskom.co.za/distribution/active-partnering/</w:t>
        </w:r>
      </w:hyperlink>
      <w:r>
        <w:rPr>
          <w:rFonts w:asciiTheme="minorBidi" w:hAnsiTheme="minorBidi"/>
          <w:sz w:val="25"/>
          <w:szCs w:val="26"/>
          <w:lang w:val="en-ZA"/>
        </w:rPr>
        <w:t>.)</w:t>
      </w:r>
    </w:p>
    <w:p w14:paraId="782D23AF" w14:textId="77777777" w:rsidR="004226C8" w:rsidRPr="002B5E77" w:rsidRDefault="004226C8" w:rsidP="004226C8">
      <w:pPr>
        <w:jc w:val="both"/>
        <w:rPr>
          <w:rFonts w:asciiTheme="minorBidi" w:hAnsiTheme="minorBidi"/>
          <w:sz w:val="25"/>
          <w:szCs w:val="26"/>
          <w:lang w:val="en-ZA"/>
        </w:rPr>
      </w:pPr>
      <w:r w:rsidRPr="002B5E77">
        <w:rPr>
          <w:rFonts w:asciiTheme="minorBidi" w:hAnsiTheme="minorBidi"/>
          <w:sz w:val="25"/>
          <w:szCs w:val="26"/>
          <w:lang w:val="en-ZA"/>
        </w:rPr>
        <w:t xml:space="preserve">Eskom further states that ‘merit order’ deductions are priority deductions from revenues collected on behalf of the municipality, after which the balance is paid to the municipality. Its FAQ also says that the municipality indemnifies Eskom for losses arising from Eskom’s performance of services, unless loss or damage is directly caused by Eskom’s own action or inaction, and that Eskom is not liable for customer damages arising from interruption, disconnection, reconnection, voltage or frequency variation unless the relevant event is due to Eskom’s negligence. </w:t>
      </w:r>
      <w:r>
        <w:rPr>
          <w:rFonts w:asciiTheme="minorBidi" w:hAnsiTheme="minorBidi"/>
          <w:sz w:val="25"/>
          <w:szCs w:val="26"/>
          <w:lang w:val="en-ZA"/>
        </w:rPr>
        <w:t xml:space="preserve">(See: </w:t>
      </w:r>
      <w:hyperlink r:id="rId9" w:history="1">
        <w:r w:rsidRPr="00F15973">
          <w:rPr>
            <w:rStyle w:val="Hyperlink"/>
            <w:rFonts w:asciiTheme="minorBidi" w:hAnsiTheme="minorBidi"/>
            <w:sz w:val="25"/>
            <w:szCs w:val="26"/>
            <w:lang w:val="en-ZA"/>
          </w:rPr>
          <w:t>https://www.eskom.co.za/distribution/active-partnering/</w:t>
        </w:r>
      </w:hyperlink>
      <w:r>
        <w:rPr>
          <w:rFonts w:asciiTheme="minorBidi" w:hAnsiTheme="minorBidi"/>
          <w:sz w:val="25"/>
          <w:szCs w:val="26"/>
          <w:lang w:val="en-ZA"/>
        </w:rPr>
        <w:t>.)</w:t>
      </w:r>
    </w:p>
    <w:p w14:paraId="76BEDF8A" w14:textId="77777777" w:rsidR="004226C8" w:rsidRPr="002B5E77" w:rsidRDefault="004226C8" w:rsidP="004226C8">
      <w:pPr>
        <w:jc w:val="both"/>
        <w:rPr>
          <w:rFonts w:asciiTheme="minorBidi" w:hAnsiTheme="minorBidi"/>
          <w:sz w:val="25"/>
          <w:szCs w:val="26"/>
          <w:lang w:val="en-ZA"/>
        </w:rPr>
      </w:pPr>
      <w:r w:rsidRPr="002B5E77">
        <w:rPr>
          <w:rFonts w:asciiTheme="minorBidi" w:hAnsiTheme="minorBidi"/>
          <w:sz w:val="25"/>
          <w:szCs w:val="26"/>
          <w:lang w:val="en-ZA"/>
        </w:rPr>
        <w:t xml:space="preserve">On the operational side Eskom says its service offerings under such an agreement include network maintenance services, revenue collection services and support services. These encompass, among other things, maintaining and strengthening municipal networks, compliance reporting to </w:t>
      </w:r>
      <w:r>
        <w:rPr>
          <w:rFonts w:asciiTheme="minorBidi" w:hAnsiTheme="minorBidi"/>
          <w:sz w:val="25"/>
          <w:szCs w:val="26"/>
          <w:lang w:val="en-ZA"/>
        </w:rPr>
        <w:t>the National Energy Regulator of South Africa (NERSA)</w:t>
      </w:r>
      <w:r w:rsidRPr="002B5E77">
        <w:rPr>
          <w:rFonts w:asciiTheme="minorBidi" w:hAnsiTheme="minorBidi"/>
          <w:sz w:val="25"/>
          <w:szCs w:val="26"/>
          <w:lang w:val="en-ZA"/>
        </w:rPr>
        <w:t xml:space="preserve">, customer applications, credit and debt management, </w:t>
      </w:r>
      <w:r w:rsidRPr="002B5E77">
        <w:rPr>
          <w:rFonts w:asciiTheme="minorBidi" w:hAnsiTheme="minorBidi"/>
          <w:sz w:val="25"/>
          <w:szCs w:val="26"/>
          <w:lang w:val="en-ZA"/>
        </w:rPr>
        <w:lastRenderedPageBreak/>
        <w:t xml:space="preserve">prepaid vending platforms, reconciliation of post-paid and prepaid revenue, VAT payment, and support functions such as administration, human resources, information technology, safety and health. Eskom also states that bills would be printed </w:t>
      </w:r>
      <w:proofErr w:type="gramStart"/>
      <w:r w:rsidRPr="002B5E77">
        <w:rPr>
          <w:rFonts w:asciiTheme="minorBidi" w:hAnsiTheme="minorBidi"/>
          <w:sz w:val="25"/>
          <w:szCs w:val="26"/>
          <w:lang w:val="en-ZA"/>
        </w:rPr>
        <w:t>on the basis of</w:t>
      </w:r>
      <w:proofErr w:type="gramEnd"/>
      <w:r w:rsidRPr="002B5E77">
        <w:rPr>
          <w:rFonts w:asciiTheme="minorBidi" w:hAnsiTheme="minorBidi"/>
          <w:sz w:val="25"/>
          <w:szCs w:val="26"/>
          <w:lang w:val="en-ZA"/>
        </w:rPr>
        <w:t xml:space="preserve"> municipal tariffs; that customers remain on municipal tariffs during the agreement period; and that training and skills transfer to municipal staff should take place so that the municipality can continue to operate its networks and collect revenue after the agreement ends. </w:t>
      </w:r>
      <w:r>
        <w:rPr>
          <w:rFonts w:asciiTheme="minorBidi" w:hAnsiTheme="minorBidi"/>
          <w:sz w:val="25"/>
          <w:szCs w:val="26"/>
          <w:lang w:val="en-ZA"/>
        </w:rPr>
        <w:t xml:space="preserve">(See: </w:t>
      </w:r>
      <w:hyperlink r:id="rId10" w:history="1">
        <w:r w:rsidRPr="00F15973">
          <w:rPr>
            <w:rStyle w:val="Hyperlink"/>
            <w:rFonts w:asciiTheme="minorBidi" w:hAnsiTheme="minorBidi"/>
            <w:sz w:val="25"/>
            <w:szCs w:val="26"/>
            <w:lang w:val="en-ZA"/>
          </w:rPr>
          <w:t>https://www.eskom.co.za/distribution/active-partnering/</w:t>
        </w:r>
      </w:hyperlink>
      <w:r>
        <w:rPr>
          <w:rFonts w:asciiTheme="minorBidi" w:hAnsiTheme="minorBidi"/>
          <w:sz w:val="25"/>
          <w:szCs w:val="26"/>
          <w:lang w:val="en-ZA"/>
        </w:rPr>
        <w:t>.)</w:t>
      </w:r>
    </w:p>
    <w:p w14:paraId="1392B1CA" w14:textId="77777777" w:rsidR="004226C8" w:rsidRPr="002B5E77" w:rsidRDefault="004226C8" w:rsidP="004226C8">
      <w:pPr>
        <w:jc w:val="both"/>
        <w:rPr>
          <w:rFonts w:asciiTheme="minorBidi" w:hAnsiTheme="minorBidi"/>
          <w:sz w:val="25"/>
          <w:szCs w:val="26"/>
          <w:lang w:val="en-ZA"/>
        </w:rPr>
      </w:pPr>
      <w:r w:rsidRPr="002B5E77">
        <w:rPr>
          <w:rFonts w:asciiTheme="minorBidi" w:hAnsiTheme="minorBidi"/>
          <w:sz w:val="25"/>
          <w:szCs w:val="26"/>
          <w:lang w:val="en-ZA"/>
        </w:rPr>
        <w:t>For present purposes, Eskom’s own public position therefore appears to be that a DAA is an agency or service-delivery model rather than a transfer of the municipality’s electricity distribution licence or customer base.</w:t>
      </w:r>
    </w:p>
    <w:p w14:paraId="7DBB4136" w14:textId="77777777" w:rsidR="004226C8" w:rsidRPr="002B5E77" w:rsidRDefault="004226C8" w:rsidP="004226C8">
      <w:pPr>
        <w:pStyle w:val="Heading1"/>
        <w:rPr>
          <w:rFonts w:asciiTheme="minorBidi" w:hAnsiTheme="minorBidi" w:cstheme="minorBidi"/>
          <w:sz w:val="30"/>
          <w:szCs w:val="32"/>
          <w:lang w:val="en-ZA"/>
        </w:rPr>
      </w:pPr>
      <w:r w:rsidRPr="002B5E77">
        <w:rPr>
          <w:rFonts w:asciiTheme="minorBidi" w:hAnsiTheme="minorBidi" w:cstheme="minorBidi"/>
          <w:sz w:val="30"/>
          <w:szCs w:val="32"/>
          <w:lang w:val="en-ZA"/>
        </w:rPr>
        <w:t>6. Why the DAA is treated by the Belangegroep as the preferred outcome</w:t>
      </w:r>
    </w:p>
    <w:p w14:paraId="13C1A29D" w14:textId="77777777" w:rsidR="004226C8" w:rsidRPr="002B5E77" w:rsidRDefault="004226C8" w:rsidP="004226C8">
      <w:pPr>
        <w:jc w:val="both"/>
        <w:rPr>
          <w:rFonts w:asciiTheme="minorBidi" w:hAnsiTheme="minorBidi"/>
          <w:sz w:val="25"/>
          <w:szCs w:val="26"/>
          <w:lang w:val="en-ZA"/>
        </w:rPr>
      </w:pPr>
      <w:r w:rsidRPr="002B5E77">
        <w:rPr>
          <w:rFonts w:asciiTheme="minorBidi" w:hAnsiTheme="minorBidi"/>
          <w:sz w:val="25"/>
          <w:szCs w:val="26"/>
          <w:lang w:val="en-ZA"/>
        </w:rPr>
        <w:t>The Belangegroep’s instruction is that residents and businesses support the conclusion of a DAA and do not support interruption or reduction of bulk supply. On the information presently available, the DAA is treated as the preferred outcome because Eskom itself presents it as a mechanism that can preserve service continuity while simultaneously addressing revenue recovery, billing, maintenance and technical capacity. On Eskom’s own version, the municipality remains the licensee and tariff-setting redistributor, while Eskom performs defined operational and recovery functions in terms of contract.</w:t>
      </w:r>
    </w:p>
    <w:p w14:paraId="06882D64" w14:textId="77777777" w:rsidR="004226C8" w:rsidRPr="002B5E77" w:rsidRDefault="004226C8" w:rsidP="004226C8">
      <w:pPr>
        <w:jc w:val="both"/>
        <w:rPr>
          <w:rFonts w:asciiTheme="minorBidi" w:hAnsiTheme="minorBidi"/>
          <w:sz w:val="25"/>
          <w:szCs w:val="26"/>
          <w:lang w:val="en-ZA"/>
        </w:rPr>
      </w:pPr>
      <w:r w:rsidRPr="002B5E77">
        <w:rPr>
          <w:rFonts w:asciiTheme="minorBidi" w:hAnsiTheme="minorBidi"/>
          <w:sz w:val="25"/>
          <w:szCs w:val="26"/>
          <w:lang w:val="en-ZA"/>
        </w:rPr>
        <w:t xml:space="preserve">That </w:t>
      </w:r>
      <w:r>
        <w:rPr>
          <w:rFonts w:asciiTheme="minorBidi" w:hAnsiTheme="minorBidi"/>
          <w:sz w:val="25"/>
          <w:szCs w:val="26"/>
          <w:lang w:val="en-ZA"/>
        </w:rPr>
        <w:t>is important</w:t>
      </w:r>
      <w:r w:rsidRPr="002B5E77">
        <w:rPr>
          <w:rFonts w:asciiTheme="minorBidi" w:hAnsiTheme="minorBidi"/>
          <w:sz w:val="25"/>
          <w:szCs w:val="26"/>
          <w:lang w:val="en-ZA"/>
        </w:rPr>
        <w:t xml:space="preserve"> in the </w:t>
      </w:r>
      <w:proofErr w:type="gramStart"/>
      <w:r w:rsidRPr="002B5E77">
        <w:rPr>
          <w:rFonts w:asciiTheme="minorBidi" w:hAnsiTheme="minorBidi"/>
          <w:sz w:val="25"/>
          <w:szCs w:val="26"/>
          <w:lang w:val="en-ZA"/>
        </w:rPr>
        <w:t>Kai !Garib</w:t>
      </w:r>
      <w:proofErr w:type="gramEnd"/>
      <w:r w:rsidRPr="002B5E77">
        <w:rPr>
          <w:rFonts w:asciiTheme="minorBidi" w:hAnsiTheme="minorBidi"/>
          <w:sz w:val="25"/>
          <w:szCs w:val="26"/>
          <w:lang w:val="en-ZA"/>
        </w:rPr>
        <w:t xml:space="preserve"> setting because the immediate alternative to a DAA is not an abstract governance dispute. It is the threatened interruption or reduction of supply to towns and service points that carry interdependent water, sewerage, communications, retail, health and agricultural functions.</w:t>
      </w:r>
    </w:p>
    <w:p w14:paraId="31420C54" w14:textId="77777777" w:rsidR="004226C8" w:rsidRPr="002B5E77" w:rsidRDefault="004226C8" w:rsidP="004226C8">
      <w:pPr>
        <w:pStyle w:val="Heading1"/>
        <w:rPr>
          <w:rFonts w:asciiTheme="minorBidi" w:hAnsiTheme="minorBidi" w:cstheme="minorBidi"/>
          <w:sz w:val="30"/>
          <w:szCs w:val="32"/>
          <w:lang w:val="en-ZA"/>
        </w:rPr>
      </w:pPr>
      <w:r w:rsidRPr="002B5E77">
        <w:rPr>
          <w:rFonts w:asciiTheme="minorBidi" w:hAnsiTheme="minorBidi" w:cstheme="minorBidi"/>
          <w:sz w:val="30"/>
          <w:szCs w:val="32"/>
          <w:lang w:val="en-ZA"/>
        </w:rPr>
        <w:t>7. Practical consequences said to follow from interruption or reduction of supply</w:t>
      </w:r>
    </w:p>
    <w:p w14:paraId="4DDFB26E" w14:textId="77777777" w:rsidR="004226C8" w:rsidRPr="002B5E77" w:rsidRDefault="004226C8" w:rsidP="004226C8">
      <w:pPr>
        <w:jc w:val="both"/>
        <w:rPr>
          <w:rFonts w:asciiTheme="minorBidi" w:hAnsiTheme="minorBidi"/>
          <w:sz w:val="25"/>
          <w:szCs w:val="26"/>
          <w:lang w:val="en-ZA"/>
        </w:rPr>
      </w:pPr>
      <w:r w:rsidRPr="002B5E77">
        <w:rPr>
          <w:rFonts w:asciiTheme="minorBidi" w:hAnsiTheme="minorBidi"/>
          <w:sz w:val="25"/>
          <w:szCs w:val="26"/>
          <w:lang w:val="en-ZA"/>
        </w:rPr>
        <w:t>The Belangegroep’s concern is not limited to domestic inconvenience. The supplied business, farming and institution representation templates</w:t>
      </w:r>
      <w:r>
        <w:rPr>
          <w:rFonts w:asciiTheme="minorBidi" w:hAnsiTheme="minorBidi"/>
          <w:sz w:val="25"/>
          <w:szCs w:val="26"/>
          <w:lang w:val="en-ZA"/>
        </w:rPr>
        <w:t xml:space="preserve"> (which was sent to businesses, farms and institutions)</w:t>
      </w:r>
      <w:r w:rsidRPr="002B5E77">
        <w:rPr>
          <w:rFonts w:asciiTheme="minorBidi" w:hAnsiTheme="minorBidi"/>
          <w:sz w:val="25"/>
          <w:szCs w:val="26"/>
          <w:lang w:val="en-ZA"/>
        </w:rPr>
        <w:t xml:space="preserve"> identify the kinds of prejudice expected if supply is reduced or interrupted. In relation to farms, the identified risks include disruption to irrigation, borehole pumping, water distribution, cold rooms, packhouse activities, crop and produce handling, logistics and employment. In relation to businesses, the identified risks include disruption to trading, refrigeration, till systems, card payments, communications, administration and stock preservation. In relation to institutions, the identified risks include disruption to education, healthcare, welfare, communications, refrigeration, water systems and other essential services.</w:t>
      </w:r>
    </w:p>
    <w:p w14:paraId="19CCFD7B" w14:textId="77777777" w:rsidR="004226C8" w:rsidRPr="002B5E77" w:rsidRDefault="004226C8" w:rsidP="004226C8">
      <w:pPr>
        <w:jc w:val="both"/>
        <w:rPr>
          <w:rFonts w:asciiTheme="minorBidi" w:hAnsiTheme="minorBidi"/>
          <w:sz w:val="25"/>
          <w:szCs w:val="26"/>
          <w:lang w:val="en-ZA"/>
        </w:rPr>
      </w:pPr>
      <w:r w:rsidRPr="002B5E77">
        <w:rPr>
          <w:rFonts w:asciiTheme="minorBidi" w:hAnsiTheme="minorBidi"/>
          <w:sz w:val="25"/>
          <w:szCs w:val="26"/>
          <w:lang w:val="en-ZA"/>
        </w:rPr>
        <w:t xml:space="preserve">These templates also make a more general point: the persons and entities most directly affected by interruption are not necessarily the same persons responsible </w:t>
      </w:r>
      <w:r w:rsidRPr="002B5E77">
        <w:rPr>
          <w:rFonts w:asciiTheme="minorBidi" w:hAnsiTheme="minorBidi"/>
          <w:sz w:val="25"/>
          <w:szCs w:val="26"/>
          <w:lang w:val="en-ZA"/>
        </w:rPr>
        <w:lastRenderedPageBreak/>
        <w:t>for the municipality’s arrears. The templates therefore frame the issue as one of disproportionate prejudice to paying end-users, employees, patients, learners, congregants, customers and the local economy.</w:t>
      </w:r>
    </w:p>
    <w:p w14:paraId="68251127" w14:textId="77777777" w:rsidR="004226C8" w:rsidRPr="002B5E77" w:rsidRDefault="004226C8" w:rsidP="004226C8">
      <w:pPr>
        <w:pStyle w:val="Heading1"/>
        <w:rPr>
          <w:rFonts w:asciiTheme="minorBidi" w:hAnsiTheme="minorBidi" w:cstheme="minorBidi"/>
          <w:sz w:val="30"/>
          <w:szCs w:val="32"/>
          <w:lang w:val="en-ZA"/>
        </w:rPr>
      </w:pPr>
      <w:r w:rsidRPr="002B5E77">
        <w:rPr>
          <w:rFonts w:asciiTheme="minorBidi" w:hAnsiTheme="minorBidi" w:cstheme="minorBidi"/>
          <w:sz w:val="30"/>
          <w:szCs w:val="32"/>
          <w:lang w:val="en-ZA"/>
        </w:rPr>
        <w:t>8. Water, sanitation and service-delivery context</w:t>
      </w:r>
    </w:p>
    <w:p w14:paraId="710FEB38" w14:textId="77777777" w:rsidR="004226C8" w:rsidRPr="002B5E77" w:rsidRDefault="004226C8" w:rsidP="004226C8">
      <w:pPr>
        <w:jc w:val="both"/>
        <w:rPr>
          <w:rFonts w:asciiTheme="minorBidi" w:hAnsiTheme="minorBidi"/>
          <w:sz w:val="25"/>
          <w:szCs w:val="26"/>
          <w:lang w:val="en-ZA"/>
        </w:rPr>
      </w:pPr>
      <w:r w:rsidRPr="002B5E77">
        <w:rPr>
          <w:rFonts w:asciiTheme="minorBidi" w:hAnsiTheme="minorBidi"/>
          <w:sz w:val="25"/>
          <w:szCs w:val="26"/>
          <w:lang w:val="en-ZA"/>
        </w:rPr>
        <w:t>The broader service-delivery setting is relevant because the electricity issue does not arise in isolation. A January 2026 media statement issued on behalf of the Kakamas Belangegroep states that Kakamas had experienced months of unreliable water supply, that community leaders had launched a petition for the removal of municipal office-bearers, and that the association regarded the municipality’s failure to provide clean and safe water as an ongoing crisis. The same statement refers to a report from a Northern Cape health official which allegedly recorded that water sampling indicated poor water quality and water not safe for drinking purposes. It also states that the Kakamas water works were seriously damaged and not functioning at optimal design capacity, and that association members and local businesses mobilised their own funds to begin repairs before being ordered to stop</w:t>
      </w:r>
      <w:r>
        <w:rPr>
          <w:rFonts w:asciiTheme="minorBidi" w:hAnsiTheme="minorBidi"/>
          <w:sz w:val="25"/>
          <w:szCs w:val="26"/>
          <w:lang w:val="en-ZA"/>
        </w:rPr>
        <w:t xml:space="preserve"> by the municipality’s technical director</w:t>
      </w:r>
      <w:r w:rsidRPr="002B5E77">
        <w:rPr>
          <w:rFonts w:asciiTheme="minorBidi" w:hAnsiTheme="minorBidi"/>
          <w:sz w:val="25"/>
          <w:szCs w:val="26"/>
          <w:lang w:val="en-ZA"/>
        </w:rPr>
        <w:t xml:space="preserve">. </w:t>
      </w:r>
    </w:p>
    <w:p w14:paraId="0ABFAC52" w14:textId="77777777" w:rsidR="004226C8" w:rsidRPr="002B5E77" w:rsidRDefault="004226C8" w:rsidP="004226C8">
      <w:pPr>
        <w:jc w:val="both"/>
        <w:rPr>
          <w:rFonts w:asciiTheme="minorBidi" w:hAnsiTheme="minorBidi"/>
          <w:sz w:val="25"/>
          <w:szCs w:val="26"/>
          <w:lang w:val="en-ZA"/>
        </w:rPr>
      </w:pPr>
      <w:r w:rsidRPr="002B5E77">
        <w:rPr>
          <w:rFonts w:asciiTheme="minorBidi" w:hAnsiTheme="minorBidi"/>
          <w:sz w:val="25"/>
          <w:szCs w:val="26"/>
          <w:lang w:val="en-ZA"/>
        </w:rPr>
        <w:t>The accompanying petition similarly records the community’s position that access to clean and safe drinking water is a constitutional right; that the water in the Kai !Garib area was reportedly unsafe; that the Kakamas water works were in serious decline; and that community members were compelled to mobilise their own funds and labour to carry out urgent repair work.</w:t>
      </w:r>
    </w:p>
    <w:p w14:paraId="76428BB2" w14:textId="77777777" w:rsidR="004226C8" w:rsidRPr="002B5E77" w:rsidRDefault="004226C8" w:rsidP="004226C8">
      <w:pPr>
        <w:jc w:val="both"/>
        <w:rPr>
          <w:rFonts w:asciiTheme="minorBidi" w:hAnsiTheme="minorBidi"/>
          <w:sz w:val="25"/>
          <w:szCs w:val="26"/>
          <w:lang w:val="en-ZA"/>
        </w:rPr>
      </w:pPr>
      <w:r w:rsidRPr="002B5E77">
        <w:rPr>
          <w:rFonts w:asciiTheme="minorBidi" w:hAnsiTheme="minorBidi"/>
          <w:sz w:val="25"/>
          <w:szCs w:val="26"/>
          <w:lang w:val="en-ZA"/>
        </w:rPr>
        <w:t xml:space="preserve">Historical documents </w:t>
      </w:r>
      <w:r>
        <w:rPr>
          <w:rFonts w:asciiTheme="minorBidi" w:hAnsiTheme="minorBidi"/>
          <w:sz w:val="25"/>
          <w:szCs w:val="26"/>
          <w:lang w:val="en-ZA"/>
        </w:rPr>
        <w:t>from the Belangegroep</w:t>
      </w:r>
      <w:r w:rsidRPr="002B5E77">
        <w:rPr>
          <w:rFonts w:asciiTheme="minorBidi" w:hAnsiTheme="minorBidi"/>
          <w:sz w:val="25"/>
          <w:szCs w:val="26"/>
          <w:lang w:val="en-ZA"/>
        </w:rPr>
        <w:t xml:space="preserve"> also show that the current conflict has a longer trajectory. In November 2018 the Belangegroep wrote to NERSA stating that Eskom had already issued PAJA notices earlier that year, that businesses had made representations regarding the impact of proposed power cuts, that some businesses had supported direct-payment arrangements to Eskom, and that </w:t>
      </w:r>
      <w:proofErr w:type="spellStart"/>
      <w:r w:rsidRPr="002B5E77">
        <w:rPr>
          <w:rFonts w:asciiTheme="minorBidi" w:hAnsiTheme="minorBidi"/>
          <w:sz w:val="25"/>
          <w:szCs w:val="26"/>
          <w:lang w:val="en-ZA"/>
        </w:rPr>
        <w:t>Kenhardt</w:t>
      </w:r>
      <w:proofErr w:type="spellEnd"/>
      <w:r w:rsidRPr="002B5E77">
        <w:rPr>
          <w:rFonts w:asciiTheme="minorBidi" w:hAnsiTheme="minorBidi"/>
          <w:sz w:val="25"/>
          <w:szCs w:val="26"/>
          <w:lang w:val="en-ZA"/>
        </w:rPr>
        <w:t xml:space="preserve"> had in fact experienced blackouts after Eskom acted on its warning.</w:t>
      </w:r>
    </w:p>
    <w:p w14:paraId="71F6178F" w14:textId="77777777" w:rsidR="004226C8" w:rsidRPr="002B5E77" w:rsidRDefault="004226C8" w:rsidP="004226C8">
      <w:pPr>
        <w:jc w:val="both"/>
        <w:rPr>
          <w:rFonts w:asciiTheme="minorBidi" w:hAnsiTheme="minorBidi"/>
          <w:sz w:val="25"/>
          <w:szCs w:val="26"/>
          <w:lang w:val="en-ZA"/>
        </w:rPr>
      </w:pPr>
      <w:r w:rsidRPr="002B5E77">
        <w:rPr>
          <w:rFonts w:asciiTheme="minorBidi" w:hAnsiTheme="minorBidi"/>
          <w:sz w:val="25"/>
          <w:szCs w:val="26"/>
          <w:lang w:val="en-ZA"/>
        </w:rPr>
        <w:t>A November 2018 letter to Provincial Treasury records the Belangegroep’s position at that time that water supply also ceased about an hour after power cuts because power was needed to pump water into the reservoir, and that mobile phone network coverage failed approximately an hour after the cuts. The same letter records that the municipality had obtained an interim interdict against Eskom in the Northern Cape High Court in November 2018.</w:t>
      </w:r>
    </w:p>
    <w:p w14:paraId="08F2B85F" w14:textId="77777777" w:rsidR="004226C8" w:rsidRPr="002B5E77" w:rsidRDefault="004226C8" w:rsidP="004226C8">
      <w:pPr>
        <w:jc w:val="both"/>
        <w:rPr>
          <w:rFonts w:asciiTheme="minorBidi" w:hAnsiTheme="minorBidi"/>
          <w:sz w:val="25"/>
          <w:szCs w:val="26"/>
          <w:lang w:val="en-ZA"/>
        </w:rPr>
      </w:pPr>
      <w:r w:rsidRPr="002B5E77">
        <w:rPr>
          <w:rFonts w:asciiTheme="minorBidi" w:hAnsiTheme="minorBidi"/>
          <w:sz w:val="25"/>
          <w:szCs w:val="26"/>
          <w:lang w:val="en-ZA"/>
        </w:rPr>
        <w:t xml:space="preserve">Taken together, these materials suggest that the present 2026 notice is not the first confrontation between Eskom’s debt recovery measures and the lived dependence of </w:t>
      </w:r>
      <w:proofErr w:type="gramStart"/>
      <w:r w:rsidRPr="002B5E77">
        <w:rPr>
          <w:rFonts w:asciiTheme="minorBidi" w:hAnsiTheme="minorBidi"/>
          <w:sz w:val="25"/>
          <w:szCs w:val="26"/>
          <w:lang w:val="en-ZA"/>
        </w:rPr>
        <w:t>Kai !Garib</w:t>
      </w:r>
      <w:proofErr w:type="gramEnd"/>
      <w:r w:rsidRPr="002B5E77">
        <w:rPr>
          <w:rFonts w:asciiTheme="minorBidi" w:hAnsiTheme="minorBidi"/>
          <w:sz w:val="25"/>
          <w:szCs w:val="26"/>
          <w:lang w:val="en-ZA"/>
        </w:rPr>
        <w:t xml:space="preserve"> communities on continuous bulk power.</w:t>
      </w:r>
    </w:p>
    <w:p w14:paraId="6297CBE2" w14:textId="77777777" w:rsidR="004226C8" w:rsidRPr="002B5E77" w:rsidRDefault="004226C8" w:rsidP="004226C8">
      <w:pPr>
        <w:pStyle w:val="Heading1"/>
        <w:rPr>
          <w:rFonts w:asciiTheme="minorBidi" w:hAnsiTheme="minorBidi" w:cstheme="minorBidi"/>
          <w:sz w:val="30"/>
          <w:szCs w:val="32"/>
          <w:lang w:val="en-ZA"/>
        </w:rPr>
      </w:pPr>
      <w:r w:rsidRPr="002B5E77">
        <w:rPr>
          <w:rFonts w:asciiTheme="minorBidi" w:hAnsiTheme="minorBidi" w:cstheme="minorBidi"/>
          <w:sz w:val="30"/>
          <w:szCs w:val="32"/>
          <w:lang w:val="en-ZA"/>
        </w:rPr>
        <w:t>9. Issues apparently requiring discussion with counsel</w:t>
      </w:r>
    </w:p>
    <w:p w14:paraId="74757FDB" w14:textId="77777777" w:rsidR="004226C8" w:rsidRPr="002B5E77" w:rsidRDefault="004226C8" w:rsidP="004226C8">
      <w:pPr>
        <w:ind w:left="283" w:hanging="283"/>
        <w:jc w:val="both"/>
        <w:rPr>
          <w:rFonts w:asciiTheme="minorBidi" w:hAnsiTheme="minorBidi"/>
          <w:sz w:val="25"/>
          <w:szCs w:val="26"/>
          <w:lang w:val="en-ZA"/>
        </w:rPr>
      </w:pPr>
      <w:r w:rsidRPr="002B5E77">
        <w:rPr>
          <w:rFonts w:asciiTheme="minorBidi" w:hAnsiTheme="minorBidi"/>
          <w:sz w:val="25"/>
          <w:szCs w:val="26"/>
          <w:lang w:val="en-ZA"/>
        </w:rPr>
        <w:t>• What legal position does residents, businesses, farms and representative associations occupy if Eskom proceeds with reduction or interruption notwithstanding public representations?</w:t>
      </w:r>
    </w:p>
    <w:p w14:paraId="5AB6DDD5" w14:textId="77777777" w:rsidR="004226C8" w:rsidRPr="002B5E77" w:rsidRDefault="004226C8" w:rsidP="004226C8">
      <w:pPr>
        <w:ind w:left="283" w:hanging="283"/>
        <w:jc w:val="both"/>
        <w:rPr>
          <w:rFonts w:asciiTheme="minorBidi" w:hAnsiTheme="minorBidi"/>
          <w:sz w:val="25"/>
          <w:szCs w:val="26"/>
          <w:lang w:val="en-ZA"/>
        </w:rPr>
      </w:pPr>
      <w:r w:rsidRPr="002B5E77">
        <w:rPr>
          <w:rFonts w:asciiTheme="minorBidi" w:hAnsiTheme="minorBidi"/>
          <w:sz w:val="25"/>
          <w:szCs w:val="26"/>
          <w:lang w:val="en-ZA"/>
        </w:rPr>
        <w:lastRenderedPageBreak/>
        <w:t>• How should the significance of Eskom’s own public description of the DAA be assessed when Eskom simultaneously places interruption or reduction on the table?</w:t>
      </w:r>
    </w:p>
    <w:p w14:paraId="34691629" w14:textId="77777777" w:rsidR="004226C8" w:rsidRPr="002B5E77" w:rsidRDefault="004226C8" w:rsidP="004226C8">
      <w:pPr>
        <w:ind w:left="283" w:hanging="283"/>
        <w:jc w:val="both"/>
        <w:rPr>
          <w:rFonts w:asciiTheme="minorBidi" w:hAnsiTheme="minorBidi"/>
          <w:sz w:val="25"/>
          <w:szCs w:val="26"/>
          <w:lang w:val="en-ZA"/>
        </w:rPr>
      </w:pPr>
      <w:r w:rsidRPr="002B5E77">
        <w:rPr>
          <w:rFonts w:asciiTheme="minorBidi" w:hAnsiTheme="minorBidi"/>
          <w:sz w:val="25"/>
          <w:szCs w:val="26"/>
          <w:lang w:val="en-ZA"/>
        </w:rPr>
        <w:t>• What scope is there to contend that affected paying end-users should not bear the consequences of municipal maladministration or non-payment, particularly where critical infrastructure depends on electricity?</w:t>
      </w:r>
    </w:p>
    <w:p w14:paraId="3E83FE4F" w14:textId="77777777" w:rsidR="004226C8" w:rsidRPr="002B5E77" w:rsidRDefault="004226C8" w:rsidP="004226C8">
      <w:pPr>
        <w:ind w:left="283" w:hanging="283"/>
        <w:jc w:val="both"/>
        <w:rPr>
          <w:rFonts w:asciiTheme="minorBidi" w:hAnsiTheme="minorBidi"/>
          <w:sz w:val="25"/>
          <w:szCs w:val="26"/>
          <w:lang w:val="en-ZA"/>
        </w:rPr>
      </w:pPr>
      <w:r w:rsidRPr="002B5E77">
        <w:rPr>
          <w:rFonts w:asciiTheme="minorBidi" w:hAnsiTheme="minorBidi"/>
          <w:sz w:val="25"/>
          <w:szCs w:val="26"/>
          <w:lang w:val="en-ZA"/>
        </w:rPr>
        <w:t>• If Eskom indicates that it will proceed, what are the available procedural steps before 8 May 2026, including a formal representation, attorney’s letter, demand for reasons, engagement with National Treasury or the municipality, or court proceedings?</w:t>
      </w:r>
    </w:p>
    <w:p w14:paraId="68BFE740" w14:textId="77777777" w:rsidR="004226C8" w:rsidRPr="002B5E77" w:rsidRDefault="004226C8" w:rsidP="004226C8">
      <w:pPr>
        <w:ind w:left="283" w:hanging="283"/>
        <w:jc w:val="both"/>
        <w:rPr>
          <w:rFonts w:asciiTheme="minorBidi" w:hAnsiTheme="minorBidi"/>
          <w:sz w:val="25"/>
          <w:szCs w:val="26"/>
          <w:lang w:val="en-ZA"/>
        </w:rPr>
      </w:pPr>
      <w:r w:rsidRPr="002B5E77">
        <w:rPr>
          <w:rFonts w:asciiTheme="minorBidi" w:hAnsiTheme="minorBidi"/>
          <w:sz w:val="25"/>
          <w:szCs w:val="26"/>
          <w:lang w:val="en-ZA"/>
        </w:rPr>
        <w:t>• On what factual showing, if any, could urgent relief be sought to preserve supply pending further process or negotiation?</w:t>
      </w:r>
    </w:p>
    <w:p w14:paraId="25177830" w14:textId="77777777" w:rsidR="004226C8" w:rsidRPr="002B5E77" w:rsidRDefault="004226C8" w:rsidP="004226C8">
      <w:pPr>
        <w:ind w:left="283" w:hanging="283"/>
        <w:jc w:val="both"/>
        <w:rPr>
          <w:rFonts w:asciiTheme="minorBidi" w:hAnsiTheme="minorBidi"/>
          <w:sz w:val="25"/>
          <w:szCs w:val="26"/>
          <w:lang w:val="en-ZA"/>
        </w:rPr>
      </w:pPr>
      <w:r w:rsidRPr="002B5E77">
        <w:rPr>
          <w:rFonts w:asciiTheme="minorBidi" w:hAnsiTheme="minorBidi"/>
          <w:sz w:val="25"/>
          <w:szCs w:val="26"/>
          <w:lang w:val="en-ZA"/>
        </w:rPr>
        <w:t>• What further evidence should now be assembled to support any later legal process, including affidavits, economic impact material, agricultural evidence, and evidence on water, sanitation and communications interdependence?</w:t>
      </w:r>
    </w:p>
    <w:p w14:paraId="106A9F89" w14:textId="77777777" w:rsidR="004226C8" w:rsidRPr="002B5E77" w:rsidRDefault="004226C8" w:rsidP="004226C8">
      <w:pPr>
        <w:pStyle w:val="Heading1"/>
        <w:jc w:val="both"/>
        <w:rPr>
          <w:rFonts w:asciiTheme="minorBidi" w:hAnsiTheme="minorBidi" w:cstheme="minorBidi"/>
          <w:sz w:val="30"/>
          <w:szCs w:val="32"/>
          <w:lang w:val="en-ZA"/>
        </w:rPr>
      </w:pPr>
      <w:r w:rsidRPr="002B5E77">
        <w:rPr>
          <w:rFonts w:asciiTheme="minorBidi" w:hAnsiTheme="minorBidi" w:cstheme="minorBidi"/>
          <w:sz w:val="30"/>
          <w:szCs w:val="32"/>
          <w:lang w:val="en-ZA"/>
        </w:rPr>
        <w:t>10. Preliminary documentary position</w:t>
      </w:r>
    </w:p>
    <w:p w14:paraId="6576F2EE" w14:textId="77777777" w:rsidR="004226C8" w:rsidRPr="002B5E77" w:rsidRDefault="004226C8" w:rsidP="004226C8">
      <w:pPr>
        <w:jc w:val="both"/>
        <w:rPr>
          <w:rFonts w:asciiTheme="minorBidi" w:hAnsiTheme="minorBidi"/>
          <w:sz w:val="25"/>
          <w:szCs w:val="26"/>
          <w:lang w:val="en-ZA"/>
        </w:rPr>
      </w:pPr>
      <w:r w:rsidRPr="002B5E77">
        <w:rPr>
          <w:rFonts w:asciiTheme="minorBidi" w:hAnsiTheme="minorBidi"/>
          <w:sz w:val="25"/>
          <w:szCs w:val="26"/>
          <w:lang w:val="en-ZA"/>
        </w:rPr>
        <w:t>At present, the documentary position appears to be as follows:</w:t>
      </w:r>
    </w:p>
    <w:p w14:paraId="1F527C17" w14:textId="77777777" w:rsidR="004226C8" w:rsidRPr="002B5E77" w:rsidRDefault="004226C8" w:rsidP="004226C8">
      <w:pPr>
        <w:ind w:left="283" w:hanging="283"/>
        <w:jc w:val="both"/>
        <w:rPr>
          <w:rFonts w:asciiTheme="minorBidi" w:hAnsiTheme="minorBidi"/>
          <w:sz w:val="25"/>
          <w:szCs w:val="26"/>
          <w:lang w:val="en-ZA"/>
        </w:rPr>
      </w:pPr>
      <w:r w:rsidRPr="002B5E77">
        <w:rPr>
          <w:rFonts w:asciiTheme="minorBidi" w:hAnsiTheme="minorBidi"/>
          <w:sz w:val="25"/>
          <w:szCs w:val="26"/>
          <w:lang w:val="en-ZA"/>
        </w:rPr>
        <w:t>• There is an Eskom public notice, but no municipal notice to residents has been supplied.</w:t>
      </w:r>
    </w:p>
    <w:p w14:paraId="3A6F39D9" w14:textId="77777777" w:rsidR="004226C8" w:rsidRPr="002B5E77" w:rsidRDefault="004226C8" w:rsidP="004226C8">
      <w:pPr>
        <w:ind w:left="283" w:hanging="283"/>
        <w:jc w:val="both"/>
        <w:rPr>
          <w:rFonts w:asciiTheme="minorBidi" w:hAnsiTheme="minorBidi"/>
          <w:sz w:val="25"/>
          <w:szCs w:val="26"/>
          <w:lang w:val="en-ZA"/>
        </w:rPr>
      </w:pPr>
      <w:r w:rsidRPr="002B5E77">
        <w:rPr>
          <w:rFonts w:asciiTheme="minorBidi" w:hAnsiTheme="minorBidi"/>
          <w:sz w:val="25"/>
          <w:szCs w:val="26"/>
          <w:lang w:val="en-ZA"/>
        </w:rPr>
        <w:t>• There is no DAA text presently before the Belangegroep.</w:t>
      </w:r>
    </w:p>
    <w:p w14:paraId="580B1C36" w14:textId="77777777" w:rsidR="004226C8" w:rsidRPr="002B5E77" w:rsidRDefault="004226C8" w:rsidP="004226C8">
      <w:pPr>
        <w:ind w:left="283" w:hanging="283"/>
        <w:jc w:val="both"/>
        <w:rPr>
          <w:rFonts w:asciiTheme="minorBidi" w:hAnsiTheme="minorBidi"/>
          <w:sz w:val="25"/>
          <w:szCs w:val="26"/>
          <w:lang w:val="en-ZA"/>
        </w:rPr>
      </w:pPr>
      <w:r w:rsidRPr="002B5E77">
        <w:rPr>
          <w:rFonts w:asciiTheme="minorBidi" w:hAnsiTheme="minorBidi"/>
          <w:sz w:val="25"/>
          <w:szCs w:val="26"/>
          <w:lang w:val="en-ZA"/>
        </w:rPr>
        <w:t>• The Belangegroep supports the DAA in principle and opposes interruption or reduction of supply.</w:t>
      </w:r>
    </w:p>
    <w:p w14:paraId="3D46306A" w14:textId="77777777" w:rsidR="004226C8" w:rsidRPr="002B5E77" w:rsidRDefault="004226C8" w:rsidP="004226C8">
      <w:pPr>
        <w:ind w:left="283" w:hanging="283"/>
        <w:jc w:val="both"/>
        <w:rPr>
          <w:rFonts w:asciiTheme="minorBidi" w:hAnsiTheme="minorBidi"/>
          <w:sz w:val="25"/>
          <w:szCs w:val="26"/>
          <w:lang w:val="en-ZA"/>
        </w:rPr>
      </w:pPr>
      <w:r w:rsidRPr="002B5E77">
        <w:rPr>
          <w:rFonts w:asciiTheme="minorBidi" w:hAnsiTheme="minorBidi"/>
          <w:sz w:val="25"/>
          <w:szCs w:val="26"/>
          <w:lang w:val="en-ZA"/>
        </w:rPr>
        <w:t>• A survey process is under way to gather more detailed impact evidence from businesses and agricultural operators, expected to be completed by 7 April 2026.</w:t>
      </w:r>
    </w:p>
    <w:p w14:paraId="48BC2275" w14:textId="77777777" w:rsidR="004226C8" w:rsidRPr="002B5E77" w:rsidRDefault="004226C8" w:rsidP="004226C8">
      <w:pPr>
        <w:ind w:left="283" w:hanging="283"/>
        <w:jc w:val="both"/>
        <w:rPr>
          <w:rFonts w:asciiTheme="minorBidi" w:hAnsiTheme="minorBidi"/>
          <w:sz w:val="25"/>
          <w:szCs w:val="26"/>
          <w:lang w:val="en-ZA"/>
        </w:rPr>
      </w:pPr>
      <w:r w:rsidRPr="002B5E77">
        <w:rPr>
          <w:rFonts w:asciiTheme="minorBidi" w:hAnsiTheme="minorBidi"/>
          <w:sz w:val="25"/>
          <w:szCs w:val="26"/>
          <w:lang w:val="en-ZA"/>
        </w:rPr>
        <w:t>• The memorandum is therefore intended as background only and will need to be supplemented by concrete impact evidence if formal legal steps later become necessary.</w:t>
      </w:r>
    </w:p>
    <w:p w14:paraId="7B42A643" w14:textId="1EFDF648" w:rsidR="00C35B15" w:rsidRDefault="00C35B15">
      <w:pPr>
        <w:rPr>
          <w:lang w:val="en-ZA"/>
        </w:rPr>
      </w:pPr>
      <w:r>
        <w:rPr>
          <w:lang w:val="en-ZA"/>
        </w:rPr>
        <w:br w:type="page"/>
      </w:r>
    </w:p>
    <w:p w14:paraId="0FDDFBB4" w14:textId="1C8DC7EA" w:rsidR="00C35B15" w:rsidRPr="00C35B15" w:rsidRDefault="00C35B15" w:rsidP="00C35B15">
      <w:pPr>
        <w:pStyle w:val="Heading1"/>
        <w:rPr>
          <w:rFonts w:asciiTheme="minorBidi" w:hAnsiTheme="minorBidi" w:cstheme="minorBidi"/>
          <w:sz w:val="24"/>
          <w:szCs w:val="24"/>
        </w:rPr>
      </w:pPr>
      <w:r w:rsidRPr="00C35B15">
        <w:rPr>
          <w:rFonts w:asciiTheme="minorBidi" w:hAnsiTheme="minorBidi" w:cstheme="minorBidi"/>
          <w:sz w:val="24"/>
          <w:szCs w:val="24"/>
        </w:rPr>
        <w:lastRenderedPageBreak/>
        <w:t>ANNEXURES</w:t>
      </w:r>
    </w:p>
    <w:p w14:paraId="27B8AF01" w14:textId="27B251CA" w:rsidR="00C35B15" w:rsidRDefault="00CE73A4" w:rsidP="003555EA">
      <w:pPr>
        <w:rPr>
          <w:lang w:val="en-ZA"/>
        </w:rPr>
      </w:pPr>
      <w:r>
        <w:rPr>
          <w:noProof/>
          <w:lang w:val="en-ZA"/>
        </w:rPr>
        <w:drawing>
          <wp:inline distT="0" distB="0" distL="0" distR="0" wp14:anchorId="7EF88ADF" wp14:editId="4DFA9397">
            <wp:extent cx="5731510" cy="8369300"/>
            <wp:effectExtent l="0" t="0" r="2540" b="0"/>
            <wp:docPr id="2122500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500014" name="Picture 2122500014"/>
                    <pic:cNvPicPr/>
                  </pic:nvPicPr>
                  <pic:blipFill>
                    <a:blip r:embed="rId11">
                      <a:extLst>
                        <a:ext uri="{28A0092B-C50C-407E-A947-70E740481C1C}">
                          <a14:useLocalDpi xmlns:a14="http://schemas.microsoft.com/office/drawing/2010/main" val="0"/>
                        </a:ext>
                      </a:extLst>
                    </a:blip>
                    <a:stretch>
                      <a:fillRect/>
                    </a:stretch>
                  </pic:blipFill>
                  <pic:spPr>
                    <a:xfrm>
                      <a:off x="0" y="0"/>
                      <a:ext cx="5731510" cy="8369300"/>
                    </a:xfrm>
                    <a:prstGeom prst="rect">
                      <a:avLst/>
                    </a:prstGeom>
                  </pic:spPr>
                </pic:pic>
              </a:graphicData>
            </a:graphic>
          </wp:inline>
        </w:drawing>
      </w:r>
    </w:p>
    <w:p w14:paraId="23E7AC37" w14:textId="77777777" w:rsidR="00CE73A4" w:rsidRPr="004226C8" w:rsidRDefault="00CE73A4" w:rsidP="003555EA">
      <w:pPr>
        <w:rPr>
          <w:lang w:val="en-ZA"/>
        </w:rPr>
      </w:pPr>
    </w:p>
    <w:sectPr w:rsidR="00CE73A4" w:rsidRPr="004226C8">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1B92A" w14:textId="77777777" w:rsidR="006246E9" w:rsidRPr="001F62BB" w:rsidRDefault="006246E9" w:rsidP="007025EA">
      <w:pPr>
        <w:spacing w:after="0" w:line="240" w:lineRule="auto"/>
      </w:pPr>
      <w:r w:rsidRPr="001F62BB">
        <w:separator/>
      </w:r>
    </w:p>
  </w:endnote>
  <w:endnote w:type="continuationSeparator" w:id="0">
    <w:p w14:paraId="464B1E6E" w14:textId="77777777" w:rsidR="006246E9" w:rsidRPr="001F62BB" w:rsidRDefault="006246E9" w:rsidP="007025EA">
      <w:pPr>
        <w:spacing w:after="0" w:line="240" w:lineRule="auto"/>
      </w:pPr>
      <w:r w:rsidRPr="001F62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Bahnschrift">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2FDA4" w14:textId="77777777" w:rsidR="0001256D" w:rsidRDefault="000125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582B5" w14:textId="635B8053" w:rsidR="007025EA" w:rsidRPr="001F62BB" w:rsidRDefault="0001256D" w:rsidP="0001256D">
    <w:pPr>
      <w:pBdr>
        <w:top w:val="single" w:sz="4" w:space="1" w:color="auto"/>
      </w:pBdr>
      <w:rPr>
        <w:rFonts w:ascii="Arial" w:hAnsi="Arial" w:cs="Arial"/>
        <w:sz w:val="16"/>
        <w:szCs w:val="16"/>
      </w:rPr>
    </w:pPr>
    <w:r>
      <w:rPr>
        <w:rFonts w:ascii="Arial" w:hAnsi="Arial" w:cs="Arial"/>
        <w:sz w:val="16"/>
        <w:szCs w:val="16"/>
      </w:rPr>
      <w:t>E-pos</w:t>
    </w:r>
    <w:r w:rsidR="00F70E2B">
      <w:rPr>
        <w:rFonts w:ascii="Arial" w:hAnsi="Arial" w:cs="Arial"/>
        <w:sz w:val="16"/>
        <w:szCs w:val="16"/>
      </w:rPr>
      <w:t xml:space="preserve">: </w:t>
    </w:r>
    <w:hyperlink r:id="rId1" w:history="1">
      <w:r w:rsidR="00F70E2B" w:rsidRPr="004623F5">
        <w:rPr>
          <w:rStyle w:val="Hyperlink"/>
          <w:rFonts w:ascii="Arial" w:hAnsi="Arial" w:cs="Arial"/>
          <w:sz w:val="16"/>
          <w:szCs w:val="16"/>
        </w:rPr>
        <w:t>kakamasbelangegroep@gmail.com</w:t>
      </w:r>
    </w:hyperlink>
    <w:r w:rsidR="00F70E2B">
      <w:rPr>
        <w:rFonts w:ascii="Arial" w:hAnsi="Arial" w:cs="Arial"/>
        <w:sz w:val="16"/>
        <w:szCs w:val="16"/>
      </w:rPr>
      <w:t xml:space="preserve"> </w:t>
    </w:r>
    <w:r w:rsidR="000A5958">
      <w:rPr>
        <w:rFonts w:ascii="Arial" w:hAnsi="Arial" w:cs="Arial"/>
        <w:sz w:val="16"/>
        <w:szCs w:val="16"/>
      </w:rPr>
      <w:t xml:space="preserve">| </w:t>
    </w:r>
    <w:r>
      <w:rPr>
        <w:rFonts w:ascii="Arial" w:hAnsi="Arial" w:cs="Arial"/>
        <w:sz w:val="16"/>
        <w:szCs w:val="16"/>
      </w:rPr>
      <w:t>Webwerf</w:t>
    </w:r>
    <w:r w:rsidR="000A5958">
      <w:rPr>
        <w:rFonts w:ascii="Arial" w:hAnsi="Arial" w:cs="Arial"/>
        <w:sz w:val="16"/>
        <w:szCs w:val="16"/>
      </w:rPr>
      <w:t xml:space="preserve">: </w:t>
    </w:r>
    <w:hyperlink r:id="rId2" w:history="1">
      <w:r w:rsidR="000A5958" w:rsidRPr="004623F5">
        <w:rPr>
          <w:rStyle w:val="Hyperlink"/>
          <w:rFonts w:ascii="Arial" w:hAnsi="Arial" w:cs="Arial"/>
          <w:sz w:val="16"/>
          <w:szCs w:val="16"/>
        </w:rPr>
        <w:t>https://kakamasbelangegroep.co.za</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55DAB" w14:textId="77777777" w:rsidR="0001256D" w:rsidRDefault="000125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757AE" w14:textId="77777777" w:rsidR="006246E9" w:rsidRPr="001F62BB" w:rsidRDefault="006246E9" w:rsidP="007025EA">
      <w:pPr>
        <w:spacing w:after="0" w:line="240" w:lineRule="auto"/>
      </w:pPr>
      <w:r w:rsidRPr="001F62BB">
        <w:separator/>
      </w:r>
    </w:p>
  </w:footnote>
  <w:footnote w:type="continuationSeparator" w:id="0">
    <w:p w14:paraId="59008CBA" w14:textId="77777777" w:rsidR="006246E9" w:rsidRPr="001F62BB" w:rsidRDefault="006246E9" w:rsidP="007025EA">
      <w:pPr>
        <w:spacing w:after="0" w:line="240" w:lineRule="auto"/>
      </w:pPr>
      <w:r w:rsidRPr="001F62B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223F7" w14:textId="77777777" w:rsidR="0001256D" w:rsidRDefault="000125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BF166" w14:textId="2E0FBEDC" w:rsidR="007025EA" w:rsidRPr="001F62BB" w:rsidRDefault="007025EA" w:rsidP="00F70E2B">
    <w:pPr>
      <w:pStyle w:val="Header"/>
      <w:pBdr>
        <w:bottom w:val="single" w:sz="4" w:space="1" w:color="auto"/>
      </w:pBdr>
      <w:ind w:left="5040" w:hanging="5040"/>
      <w:rPr>
        <w:rFonts w:ascii="Bahnschrift" w:hAnsi="Bahnschrift"/>
        <w:sz w:val="16"/>
        <w:szCs w:val="16"/>
      </w:rPr>
    </w:pPr>
    <w:r w:rsidRPr="001F62BB">
      <w:rPr>
        <w:rFonts w:ascii="Bahnschrift" w:hAnsi="Bahnschrift"/>
        <w:color w:val="00B050"/>
        <w:sz w:val="32"/>
        <w:szCs w:val="32"/>
      </w:rPr>
      <w:t xml:space="preserve">KAKAMAS </w:t>
    </w:r>
    <w:r w:rsidRPr="001F62BB">
      <w:rPr>
        <w:rFonts w:ascii="Bahnschrift" w:hAnsi="Bahnschrift"/>
        <w:sz w:val="32"/>
        <w:szCs w:val="32"/>
      </w:rPr>
      <w:t>BELANGEGROEP</w:t>
    </w:r>
    <w:r w:rsidRPr="001F62BB">
      <w:rPr>
        <w:rFonts w:ascii="Bahnschrift" w:hAnsi="Bahnschrift"/>
        <w:sz w:val="32"/>
        <w:szCs w:val="32"/>
      </w:rPr>
      <w:tab/>
    </w:r>
    <w:r w:rsidRPr="001F62BB">
      <w:rPr>
        <w:rFonts w:ascii="Bahnschrift" w:hAnsi="Bahnschrift"/>
        <w:sz w:val="32"/>
        <w:szCs w:val="3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81DC6" w14:textId="77777777" w:rsidR="0001256D" w:rsidRDefault="000125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5ABD"/>
    <w:multiLevelType w:val="hybridMultilevel"/>
    <w:tmpl w:val="4FF6E94C"/>
    <w:lvl w:ilvl="0" w:tplc="821E47D0">
      <w:start w:val="1"/>
      <w:numFmt w:val="lowerLetter"/>
      <w:lvlText w:val="(%1)"/>
      <w:lvlJc w:val="left"/>
      <w:pPr>
        <w:ind w:left="1800" w:hanging="360"/>
      </w:pPr>
      <w:rPr>
        <w:rFonts w:hint="default"/>
      </w:rPr>
    </w:lvl>
    <w:lvl w:ilvl="1" w:tplc="1C090019">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 w15:restartNumberingAfterBreak="0">
    <w:nsid w:val="14BC23FA"/>
    <w:multiLevelType w:val="multilevel"/>
    <w:tmpl w:val="EB804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2C3D9B"/>
    <w:multiLevelType w:val="multilevel"/>
    <w:tmpl w:val="818080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6E952C3"/>
    <w:multiLevelType w:val="hybridMultilevel"/>
    <w:tmpl w:val="444CA3C6"/>
    <w:lvl w:ilvl="0" w:tplc="D7B6E5C4">
      <w:start w:val="6"/>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3DDB312F"/>
    <w:multiLevelType w:val="multilevel"/>
    <w:tmpl w:val="1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FE02F99"/>
    <w:multiLevelType w:val="hybridMultilevel"/>
    <w:tmpl w:val="8F66D3C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41B86797"/>
    <w:multiLevelType w:val="hybridMultilevel"/>
    <w:tmpl w:val="8F727D1E"/>
    <w:lvl w:ilvl="0" w:tplc="E3B8B168">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7" w15:restartNumberingAfterBreak="0">
    <w:nsid w:val="51167D33"/>
    <w:multiLevelType w:val="hybridMultilevel"/>
    <w:tmpl w:val="36F486A4"/>
    <w:lvl w:ilvl="0" w:tplc="1C09000F">
      <w:start w:val="2"/>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5B82517F"/>
    <w:multiLevelType w:val="hybridMultilevel"/>
    <w:tmpl w:val="DF2067C8"/>
    <w:lvl w:ilvl="0" w:tplc="4A262716">
      <w:start w:val="1"/>
      <w:numFmt w:val="lowerRoman"/>
      <w:lvlText w:val="(%1)"/>
      <w:lvlJc w:val="left"/>
      <w:pPr>
        <w:ind w:left="2520" w:hanging="720"/>
      </w:pPr>
      <w:rPr>
        <w:rFonts w:hint="default"/>
      </w:r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9" w15:restartNumberingAfterBreak="0">
    <w:nsid w:val="63A17582"/>
    <w:multiLevelType w:val="multilevel"/>
    <w:tmpl w:val="86840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B93F40"/>
    <w:multiLevelType w:val="hybridMultilevel"/>
    <w:tmpl w:val="924AAC3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6EA92B0B"/>
    <w:multiLevelType w:val="multilevel"/>
    <w:tmpl w:val="F410A22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70EA7E1F"/>
    <w:multiLevelType w:val="hybridMultilevel"/>
    <w:tmpl w:val="DA4422E6"/>
    <w:lvl w:ilvl="0" w:tplc="90D85C06">
      <w:start w:val="7"/>
      <w:numFmt w:val="bullet"/>
      <w:lvlText w:val=""/>
      <w:lvlJc w:val="left"/>
      <w:pPr>
        <w:ind w:left="720" w:hanging="360"/>
      </w:pPr>
      <w:rPr>
        <w:rFonts w:ascii="Symbol" w:eastAsiaTheme="minorHAnsi" w:hAnsi="Symbol" w:cs="Aria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710F1AA6"/>
    <w:multiLevelType w:val="multilevel"/>
    <w:tmpl w:val="F7E46A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D65368"/>
    <w:multiLevelType w:val="hybridMultilevel"/>
    <w:tmpl w:val="F756518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312679158">
    <w:abstractNumId w:val="5"/>
  </w:num>
  <w:num w:numId="2" w16cid:durableId="103425665">
    <w:abstractNumId w:val="14"/>
  </w:num>
  <w:num w:numId="3" w16cid:durableId="365444937">
    <w:abstractNumId w:val="2"/>
  </w:num>
  <w:num w:numId="4" w16cid:durableId="1040475969">
    <w:abstractNumId w:val="0"/>
  </w:num>
  <w:num w:numId="5" w16cid:durableId="188374499">
    <w:abstractNumId w:val="8"/>
  </w:num>
  <w:num w:numId="6" w16cid:durableId="8071354">
    <w:abstractNumId w:val="4"/>
  </w:num>
  <w:num w:numId="7" w16cid:durableId="1601066189">
    <w:abstractNumId w:val="7"/>
  </w:num>
  <w:num w:numId="8" w16cid:durableId="790904223">
    <w:abstractNumId w:val="6"/>
  </w:num>
  <w:num w:numId="9" w16cid:durableId="1199706807">
    <w:abstractNumId w:val="11"/>
  </w:num>
  <w:num w:numId="10" w16cid:durableId="662708630">
    <w:abstractNumId w:val="10"/>
  </w:num>
  <w:num w:numId="11" w16cid:durableId="373312242">
    <w:abstractNumId w:val="3"/>
  </w:num>
  <w:num w:numId="12" w16cid:durableId="242033961">
    <w:abstractNumId w:val="12"/>
  </w:num>
  <w:num w:numId="13" w16cid:durableId="893543920">
    <w:abstractNumId w:val="1"/>
  </w:num>
  <w:num w:numId="14" w16cid:durableId="726876343">
    <w:abstractNumId w:val="9"/>
  </w:num>
  <w:num w:numId="15" w16cid:durableId="12927128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0CB"/>
    <w:rsid w:val="0001256D"/>
    <w:rsid w:val="00020DE0"/>
    <w:rsid w:val="00024BCB"/>
    <w:rsid w:val="00034310"/>
    <w:rsid w:val="00036BA5"/>
    <w:rsid w:val="000408B4"/>
    <w:rsid w:val="0005525A"/>
    <w:rsid w:val="000625E8"/>
    <w:rsid w:val="000720E8"/>
    <w:rsid w:val="00076E99"/>
    <w:rsid w:val="00091CF6"/>
    <w:rsid w:val="000959FB"/>
    <w:rsid w:val="000973AC"/>
    <w:rsid w:val="000A5958"/>
    <w:rsid w:val="000D2790"/>
    <w:rsid w:val="00146626"/>
    <w:rsid w:val="00151DCA"/>
    <w:rsid w:val="00153CA4"/>
    <w:rsid w:val="00155069"/>
    <w:rsid w:val="001617E3"/>
    <w:rsid w:val="001701C4"/>
    <w:rsid w:val="00173D49"/>
    <w:rsid w:val="00180E70"/>
    <w:rsid w:val="001869F5"/>
    <w:rsid w:val="001925EF"/>
    <w:rsid w:val="00195EAC"/>
    <w:rsid w:val="001D0C4B"/>
    <w:rsid w:val="001D2528"/>
    <w:rsid w:val="001E5E04"/>
    <w:rsid w:val="001F62BB"/>
    <w:rsid w:val="001F62E9"/>
    <w:rsid w:val="00216566"/>
    <w:rsid w:val="0022147A"/>
    <w:rsid w:val="0024619B"/>
    <w:rsid w:val="00255999"/>
    <w:rsid w:val="002752ED"/>
    <w:rsid w:val="00282494"/>
    <w:rsid w:val="00293A88"/>
    <w:rsid w:val="002962EC"/>
    <w:rsid w:val="003123BA"/>
    <w:rsid w:val="00313A39"/>
    <w:rsid w:val="00342CBD"/>
    <w:rsid w:val="003432D8"/>
    <w:rsid w:val="00351BEB"/>
    <w:rsid w:val="00354018"/>
    <w:rsid w:val="003555EA"/>
    <w:rsid w:val="00355DAE"/>
    <w:rsid w:val="003A6B8D"/>
    <w:rsid w:val="003C2985"/>
    <w:rsid w:val="003D5D76"/>
    <w:rsid w:val="00404FE9"/>
    <w:rsid w:val="0040737E"/>
    <w:rsid w:val="00421FB5"/>
    <w:rsid w:val="004226C8"/>
    <w:rsid w:val="00436E95"/>
    <w:rsid w:val="0046365E"/>
    <w:rsid w:val="00465E54"/>
    <w:rsid w:val="00472DF2"/>
    <w:rsid w:val="00480095"/>
    <w:rsid w:val="00491B73"/>
    <w:rsid w:val="004A58C9"/>
    <w:rsid w:val="004B2FBA"/>
    <w:rsid w:val="004C3D51"/>
    <w:rsid w:val="004D452D"/>
    <w:rsid w:val="004D4BB4"/>
    <w:rsid w:val="004D71C4"/>
    <w:rsid w:val="00526175"/>
    <w:rsid w:val="00530689"/>
    <w:rsid w:val="005513C3"/>
    <w:rsid w:val="0055507C"/>
    <w:rsid w:val="00562E1F"/>
    <w:rsid w:val="00582BCA"/>
    <w:rsid w:val="005B1E5A"/>
    <w:rsid w:val="005C621F"/>
    <w:rsid w:val="005F46A4"/>
    <w:rsid w:val="006051EE"/>
    <w:rsid w:val="006164C6"/>
    <w:rsid w:val="006246E9"/>
    <w:rsid w:val="00624B96"/>
    <w:rsid w:val="0063038E"/>
    <w:rsid w:val="00632774"/>
    <w:rsid w:val="00651E6E"/>
    <w:rsid w:val="0065749D"/>
    <w:rsid w:val="00664936"/>
    <w:rsid w:val="0067403F"/>
    <w:rsid w:val="00695207"/>
    <w:rsid w:val="006E4423"/>
    <w:rsid w:val="006F50CB"/>
    <w:rsid w:val="007025EA"/>
    <w:rsid w:val="00721F4F"/>
    <w:rsid w:val="00732F53"/>
    <w:rsid w:val="00745642"/>
    <w:rsid w:val="007646E0"/>
    <w:rsid w:val="0078282E"/>
    <w:rsid w:val="007858CC"/>
    <w:rsid w:val="00796F7F"/>
    <w:rsid w:val="007A1812"/>
    <w:rsid w:val="007B60EE"/>
    <w:rsid w:val="007C3641"/>
    <w:rsid w:val="007C4DF6"/>
    <w:rsid w:val="007D2268"/>
    <w:rsid w:val="008215DD"/>
    <w:rsid w:val="0083575B"/>
    <w:rsid w:val="00851C7F"/>
    <w:rsid w:val="00864857"/>
    <w:rsid w:val="00864D38"/>
    <w:rsid w:val="008740B0"/>
    <w:rsid w:val="00882E85"/>
    <w:rsid w:val="008B27B4"/>
    <w:rsid w:val="008B4103"/>
    <w:rsid w:val="008B6A4C"/>
    <w:rsid w:val="008C786C"/>
    <w:rsid w:val="008D3308"/>
    <w:rsid w:val="008D5E43"/>
    <w:rsid w:val="00901E78"/>
    <w:rsid w:val="009043F4"/>
    <w:rsid w:val="0099096F"/>
    <w:rsid w:val="009B3990"/>
    <w:rsid w:val="009B3DF1"/>
    <w:rsid w:val="009B67CC"/>
    <w:rsid w:val="009E59C2"/>
    <w:rsid w:val="009F47FB"/>
    <w:rsid w:val="00A06A4E"/>
    <w:rsid w:val="00A2032A"/>
    <w:rsid w:val="00A30AC4"/>
    <w:rsid w:val="00A33096"/>
    <w:rsid w:val="00A7610E"/>
    <w:rsid w:val="00AA3F76"/>
    <w:rsid w:val="00AC3613"/>
    <w:rsid w:val="00AD093A"/>
    <w:rsid w:val="00AE6D8F"/>
    <w:rsid w:val="00B05FE7"/>
    <w:rsid w:val="00B112F2"/>
    <w:rsid w:val="00B26DDE"/>
    <w:rsid w:val="00B321E3"/>
    <w:rsid w:val="00B43954"/>
    <w:rsid w:val="00B54996"/>
    <w:rsid w:val="00B70C01"/>
    <w:rsid w:val="00B93DFF"/>
    <w:rsid w:val="00BA4BF2"/>
    <w:rsid w:val="00BB19EE"/>
    <w:rsid w:val="00BE071F"/>
    <w:rsid w:val="00C21159"/>
    <w:rsid w:val="00C22D28"/>
    <w:rsid w:val="00C35B15"/>
    <w:rsid w:val="00C37A7D"/>
    <w:rsid w:val="00C5296D"/>
    <w:rsid w:val="00C57409"/>
    <w:rsid w:val="00C62463"/>
    <w:rsid w:val="00C63631"/>
    <w:rsid w:val="00C72914"/>
    <w:rsid w:val="00C749CE"/>
    <w:rsid w:val="00C757D1"/>
    <w:rsid w:val="00C9588D"/>
    <w:rsid w:val="00CA3D83"/>
    <w:rsid w:val="00CD29C5"/>
    <w:rsid w:val="00CD37D7"/>
    <w:rsid w:val="00CD5143"/>
    <w:rsid w:val="00CD62C1"/>
    <w:rsid w:val="00CE73A4"/>
    <w:rsid w:val="00CF1222"/>
    <w:rsid w:val="00D00E34"/>
    <w:rsid w:val="00D34295"/>
    <w:rsid w:val="00D47818"/>
    <w:rsid w:val="00D669CB"/>
    <w:rsid w:val="00D7542B"/>
    <w:rsid w:val="00D7723D"/>
    <w:rsid w:val="00D84EB4"/>
    <w:rsid w:val="00DD5FD9"/>
    <w:rsid w:val="00DE3F2B"/>
    <w:rsid w:val="00DF4E4A"/>
    <w:rsid w:val="00DF773A"/>
    <w:rsid w:val="00DF7BDF"/>
    <w:rsid w:val="00E20F4A"/>
    <w:rsid w:val="00E32141"/>
    <w:rsid w:val="00E35856"/>
    <w:rsid w:val="00E44128"/>
    <w:rsid w:val="00E666D0"/>
    <w:rsid w:val="00E761B5"/>
    <w:rsid w:val="00E86E41"/>
    <w:rsid w:val="00E925D6"/>
    <w:rsid w:val="00EB455E"/>
    <w:rsid w:val="00EC117B"/>
    <w:rsid w:val="00ED31EC"/>
    <w:rsid w:val="00EE429D"/>
    <w:rsid w:val="00F00BB8"/>
    <w:rsid w:val="00F20395"/>
    <w:rsid w:val="00F22A06"/>
    <w:rsid w:val="00F3039C"/>
    <w:rsid w:val="00F360A4"/>
    <w:rsid w:val="00F37421"/>
    <w:rsid w:val="00F413E4"/>
    <w:rsid w:val="00F60F15"/>
    <w:rsid w:val="00F660B0"/>
    <w:rsid w:val="00F70E2B"/>
    <w:rsid w:val="00FC10C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32645"/>
  <w15:chartTrackingRefBased/>
  <w15:docId w15:val="{C41E22FA-43EA-4CB5-9A0C-36D2A993B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af-ZA"/>
    </w:rPr>
  </w:style>
  <w:style w:type="paragraph" w:styleId="Heading1">
    <w:name w:val="heading 1"/>
    <w:basedOn w:val="Normal"/>
    <w:next w:val="Normal"/>
    <w:link w:val="Heading1Char"/>
    <w:uiPriority w:val="9"/>
    <w:qFormat/>
    <w:rsid w:val="004226C8"/>
    <w:pPr>
      <w:keepNext/>
      <w:keepLines/>
      <w:spacing w:before="200" w:after="80" w:line="276" w:lineRule="auto"/>
      <w:outlineLvl w:val="0"/>
    </w:pPr>
    <w:rPr>
      <w:rFonts w:asciiTheme="majorHAnsi" w:eastAsiaTheme="majorEastAsia" w:hAnsiTheme="majorHAnsi" w:cstheme="majorBidi"/>
      <w:b/>
      <w:bCs/>
      <w:color w:val="212529"/>
      <w:sz w:val="26"/>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50CB"/>
    <w:pPr>
      <w:ind w:left="720"/>
      <w:contextualSpacing/>
    </w:pPr>
  </w:style>
  <w:style w:type="paragraph" w:styleId="Header">
    <w:name w:val="header"/>
    <w:basedOn w:val="Normal"/>
    <w:link w:val="HeaderChar"/>
    <w:uiPriority w:val="99"/>
    <w:unhideWhenUsed/>
    <w:rsid w:val="007025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25EA"/>
  </w:style>
  <w:style w:type="paragraph" w:styleId="Footer">
    <w:name w:val="footer"/>
    <w:basedOn w:val="Normal"/>
    <w:link w:val="FooterChar"/>
    <w:uiPriority w:val="99"/>
    <w:unhideWhenUsed/>
    <w:rsid w:val="007025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25EA"/>
  </w:style>
  <w:style w:type="character" w:styleId="Hyperlink">
    <w:name w:val="Hyperlink"/>
    <w:basedOn w:val="DefaultParagraphFont"/>
    <w:uiPriority w:val="99"/>
    <w:unhideWhenUsed/>
    <w:rsid w:val="007025EA"/>
    <w:rPr>
      <w:color w:val="0563C1" w:themeColor="hyperlink"/>
      <w:u w:val="single"/>
    </w:rPr>
  </w:style>
  <w:style w:type="character" w:styleId="UnresolvedMention">
    <w:name w:val="Unresolved Mention"/>
    <w:basedOn w:val="DefaultParagraphFont"/>
    <w:uiPriority w:val="99"/>
    <w:semiHidden/>
    <w:unhideWhenUsed/>
    <w:rsid w:val="007025EA"/>
    <w:rPr>
      <w:color w:val="605E5C"/>
      <w:shd w:val="clear" w:color="auto" w:fill="E1DFDD"/>
    </w:rPr>
  </w:style>
  <w:style w:type="character" w:customStyle="1" w:styleId="Heading1Char">
    <w:name w:val="Heading 1 Char"/>
    <w:basedOn w:val="DefaultParagraphFont"/>
    <w:link w:val="Heading1"/>
    <w:uiPriority w:val="9"/>
    <w:rsid w:val="004226C8"/>
    <w:rPr>
      <w:rFonts w:asciiTheme="majorHAnsi" w:eastAsiaTheme="majorEastAsia" w:hAnsiTheme="majorHAnsi" w:cstheme="majorBidi"/>
      <w:b/>
      <w:bCs/>
      <w:color w:val="212529"/>
      <w:sz w:val="26"/>
      <w:szCs w:val="28"/>
      <w:lang w:val="en-US"/>
    </w:rPr>
  </w:style>
  <w:style w:type="table" w:styleId="TableGrid">
    <w:name w:val="Table Grid"/>
    <w:basedOn w:val="TableNormal"/>
    <w:uiPriority w:val="59"/>
    <w:rsid w:val="004226C8"/>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moTitle">
    <w:name w:val="MemoTitle"/>
    <w:basedOn w:val="Normal"/>
    <w:rsid w:val="004226C8"/>
    <w:pPr>
      <w:spacing w:after="60" w:line="240" w:lineRule="auto"/>
    </w:pPr>
    <w:rPr>
      <w:rFonts w:ascii="Aptos Display" w:eastAsia="Aptos" w:hAnsi="Aptos Display"/>
      <w:b/>
      <w:color w:val="1F2937"/>
      <w:sz w:val="36"/>
      <w:lang w:val="en-US"/>
    </w:rPr>
  </w:style>
  <w:style w:type="paragraph" w:customStyle="1" w:styleId="MemoSubtitle">
    <w:name w:val="MemoSubtitle"/>
    <w:basedOn w:val="Normal"/>
    <w:rsid w:val="004226C8"/>
    <w:pPr>
      <w:spacing w:after="200" w:line="276" w:lineRule="auto"/>
    </w:pPr>
    <w:rPr>
      <w:rFonts w:ascii="Aptos" w:eastAsia="Aptos" w:hAnsi="Aptos"/>
      <w:color w:val="5A5A5A"/>
      <w:sz w:val="19"/>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kom.co.za/distribution/active-partnering/"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skom.co.za/distribution/active-partnering/"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eskom.co.za/distribution/active-partnerin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eskom.co.za/distribution/active-partnering/"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s://kakamasbelangegroep.co.za" TargetMode="External"/><Relationship Id="rId1" Type="http://schemas.openxmlformats.org/officeDocument/2006/relationships/hyperlink" Target="mailto:kakamasbelangegroep@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8</Pages>
  <Words>2236</Words>
  <Characters>13389</Characters>
  <Application>Microsoft Office Word</Application>
  <DocSecurity>0</DocSecurity>
  <Lines>232</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Visser</dc:creator>
  <cp:keywords/>
  <dc:description/>
  <cp:lastModifiedBy>Jaco Visser</cp:lastModifiedBy>
  <cp:revision>6</cp:revision>
  <cp:lastPrinted>2018-11-08T07:18:00Z</cp:lastPrinted>
  <dcterms:created xsi:type="dcterms:W3CDTF">2026-03-30T16:56:00Z</dcterms:created>
  <dcterms:modified xsi:type="dcterms:W3CDTF">2026-04-10T09:07:00Z</dcterms:modified>
</cp:coreProperties>
</file>