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jc w:val="center"/>
        <w:rPr>
          <w:rFonts w:ascii="Nunito" w:cs="Nunito" w:eastAsia="Nunito" w:hAnsi="Nunito"/>
          <w:b w:val="1"/>
          <w:sz w:val="22"/>
          <w:szCs w:val="22"/>
        </w:rPr>
      </w:pPr>
      <w:bookmarkStart w:colFirst="0" w:colLast="0" w:name="_j0ikok6jb93y" w:id="0"/>
      <w:bookmarkEnd w:id="0"/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DERECHO DE PETICIÓN A LA EPS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[Ciudad], [Fecha]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Señores:</w:t>
        <w:br w:type="textWrapping"/>
      </w:r>
      <w:r w:rsidDel="00000000" w:rsidR="00000000" w:rsidRPr="00000000">
        <w:rPr>
          <w:rFonts w:ascii="Nunito" w:cs="Nunito" w:eastAsia="Nunito" w:hAnsi="Nunito"/>
          <w:rtl w:val="0"/>
        </w:rPr>
        <w:t xml:space="preserve"> [Nombre de la EPS]</w:t>
        <w:br w:type="textWrapping"/>
        <w:t xml:space="preserve"> Atención: Dirección de Servicios de Salud</w:t>
        <w:br w:type="textWrapping"/>
        <w:t xml:space="preserve"> [Dirección de la EPS]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Asunto: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Derecho de Petición – Solicitud de acompañante terapéutico/docente sombra para [Nombre del niño/a]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Yo, [Nombre del Padre/Madre o Representante Legal], identificado(a) con C.C. No. [Número], en mi calidad de representante legal de mi hijo(a) [Nombre del niño/a], identificado con T.I./RC No. [Número], me permito presentar este derecho de petición conforme al Artículo 23 de la Constitución Política de Colombia y al Código de Procedimiento Administrativo y de lo Contencioso Administrativo (Ley 1437 de 2011), en los siguientes términos: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av4rhxykvq2y" w:id="1"/>
      <w:bookmarkEnd w:id="1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1. HECHOS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Contexto: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Describir la situación y necesidad de por qué es necesario contar con el acompañante terapéutico.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Mi hijo(a) [Nombre del niño/a] tiene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diagnóstico de Trastorno del Espectro Autista (TEA)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certificado por [Nombre del médico tratante o entidad que emitió el diagnóstico].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Según el informe médico, requiere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acompañamiento terapéutico en el ámbito educativo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para garantizar su acceso y permanencia en el sistema escolar.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 acuerdo con 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Ley 1618 de 2013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el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Decreto 1421 de 2017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y la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Sentencia SU-475 de 2023 de la Corte Constitucional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las EPS deben garantizar los servicios de apoyo requeridos por personas con discapacidad para su desarrollo educativo y social.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Radicamos previamente esta solicitud ante la EPS el día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[fecha de la solicitud previa, si aplica]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sin haber obtenido respuesta o con respuesta negativa.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38yxpkky5ux6" w:id="2"/>
      <w:bookmarkEnd w:id="2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2. PETICIONES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 base en lo anterior, solicito: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La asignación inmediata de un acompañante terapéutico/docente sombra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para [Nombre del niño/a], con el fin de garantizar su derecho a la educación inclusiva.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 caso de no ser procedente, se me indique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por escrito y con fundamento normativo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la razón de la negativa.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 informe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en qué términos y tiempos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la EPS dará cumplimiento a la normativa vigente en materia de educación inclusiva y discapacidad.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 me indique el mecanismo de impugnación en caso de una respuesta desfavorable.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ali91jeteun4" w:id="3"/>
      <w:bookmarkEnd w:id="3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3. PRUEBAS QUE APORTO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Copia del diagnóstico médico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 TEA.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Recomendación del médico tratante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sobre la necesidad del acompañante terapéutico.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Certificado de discapacidad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expedido por la EPS (si aplica).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Copias de solicitudes previas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radicadas en la EPS (si existen).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240" w:lineRule="auto"/>
        <w:rPr>
          <w:rFonts w:ascii="Nunito" w:cs="Nunito" w:eastAsia="Nunito" w:hAnsi="Nunito"/>
          <w:b w:val="1"/>
          <w:color w:val="000000"/>
          <w:sz w:val="22"/>
          <w:szCs w:val="22"/>
        </w:rPr>
      </w:pPr>
      <w:bookmarkStart w:colFirst="0" w:colLast="0" w:name="_qcld71r1k2wl" w:id="4"/>
      <w:bookmarkEnd w:id="4"/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4. FUNDAMENTOS LEGALES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Artículo 23 de la Constitución Política: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Derecho fundamental de petición.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Ley 1618 de 2013: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Garantía de ajustes razonables para la educación inclusiva.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Decreto 1421 de 2017: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Establece la obligación del sistema de salud y educativo de brindar apoyos a estudiantes con discapacidad.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Sentencia SU-475 de 2023 y T-457 de 2019 de la Corte Constitucional: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Obligación del Estado y entidades privadas de garantizar la inclusión efectiva de niños con TEA.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Agradezco la pronta respuesta dentro de los términos legales.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Atentamente,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[Nombre del Padre/Madre o Representante Legal]</w:t>
        <w:br w:type="textWrapping"/>
      </w:r>
      <w:r w:rsidDel="00000000" w:rsidR="00000000" w:rsidRPr="00000000">
        <w:rPr>
          <w:rFonts w:ascii="Nunito" w:cs="Nunito" w:eastAsia="Nunito" w:hAnsi="Nunito"/>
          <w:rtl w:val="0"/>
        </w:rPr>
        <w:t xml:space="preserve"> C.C. No. [Número]</w:t>
        <w:br w:type="textWrapping"/>
        <w:t xml:space="preserve"> Teléfono: [Número de contacto]</w:t>
        <w:br w:type="textWrapping"/>
        <w:t xml:space="preserve"> Correo electrónico: [Correo]</w:t>
        <w:br w:type="textWrapping"/>
        <w:t xml:space="preserve"> Dirección: [Dirección de residencia]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