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240" w:lineRule="auto"/>
        <w:jc w:val="center"/>
        <w:rPr>
          <w:rFonts w:ascii="Nunito" w:cs="Nunito" w:eastAsia="Nunito" w:hAnsi="Nunito"/>
          <w:b w:val="1"/>
          <w:sz w:val="22"/>
          <w:szCs w:val="22"/>
        </w:rPr>
      </w:pPr>
      <w:bookmarkStart w:colFirst="0" w:colLast="0" w:name="_dy16skkjnusb" w:id="0"/>
      <w:bookmarkEnd w:id="0"/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ACCIÓN DE TUTELA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SEÑOR(A) 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JUEZ CONSTITUCIONAL DE [Ciudad]</w:t>
        <w:br w:type="textWrapping"/>
      </w:r>
      <w:r w:rsidDel="00000000" w:rsidR="00000000" w:rsidRPr="00000000">
        <w:rPr>
          <w:rFonts w:ascii="Nunito" w:cs="Nunito" w:eastAsia="Nunito" w:hAnsi="Nunito"/>
          <w:rtl w:val="0"/>
        </w:rPr>
        <w:t xml:space="preserve">(Ejemplo: Juez de Familia, Juez Civil Municipal, Juez Administrativo, según corresponda)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240" w:lineRule="auto"/>
        <w:rPr>
          <w:rFonts w:ascii="Nunito" w:cs="Nunito" w:eastAsia="Nunito" w:hAnsi="Nunito"/>
          <w:sz w:val="22"/>
          <w:szCs w:val="22"/>
        </w:rPr>
      </w:pPr>
      <w:bookmarkStart w:colFirst="0" w:colLast="0" w:name="_10qdyilshhwg" w:id="1"/>
      <w:bookmarkEnd w:id="1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REF.: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Acción de tutela para la protección del derecho fundamental a la educación inclusiva Art. 44 y 67 de la Constitución Política de Colombia.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ACCIONANTE: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Nombre del padre/madre o representante legal</w:t>
        <w:br w:type="textWrapping"/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C.C. No.: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Número de cédula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Domicilio: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Dirección</w:t>
        <w:br w:type="textWrapping"/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Teléfono: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Número de contacto</w:t>
        <w:br w:type="textWrapping"/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Correo electrónico: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Correo del accionante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ACCIONADO:</w:t>
        <w:br w:type="textWrapping"/>
      </w:r>
      <w:r w:rsidDel="00000000" w:rsidR="00000000" w:rsidRPr="00000000">
        <w:rPr>
          <w:rFonts w:ascii="Nunito" w:cs="Nunito" w:eastAsia="Nunito" w:hAnsi="Nunito"/>
          <w:rtl w:val="0"/>
        </w:rPr>
        <w:t xml:space="preserve">EPS y/o Institución Educativa que ha negado la solicitud</w:t>
        <w:br w:type="textWrapping"/>
        <w:t xml:space="preserve">Dirección de la entidad</w:t>
        <w:br w:type="textWrapping"/>
        <w:t xml:space="preserve">Nombre del representante legal de la entidad, si se conoce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240" w:lineRule="auto"/>
        <w:jc w:val="center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ataney28pes1" w:id="2"/>
      <w:bookmarkEnd w:id="2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HECHOS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Mi hijo(a), [Nombre del niño(a)], de 9 años, estudiante de [nombre del colegio], ha sido diagnosticado con Trastorno del Espectro Autista (TEA], nivel [indicar el nivel si aplica], según certificación médica expedida por [Nombre de la EPS o médico tratante].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Según la Ley 1618 de 2013, el Decreto 1421 de 2017 y las Sentencias SU-475 de 2023 y T-457 de 2019 de la Corte Constitucional, los niños con discapacidad tienen derecho a ajustes razonables para garantizar su acceso a la educación inclusiva.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El médico tratante recomendó la presencia de un docente sombra o acompañante terapéutico para facilitar la adaptación, la interacción social y el aprendizaje de mi hijo en el entorno escolar.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Se radicó una solicitud formal ante [EPS/Colegio] el día [fecha] con los soportes médicos y académicos correspondientes, pero fue negada o no ha tenido respuesta dentro del término legal.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Ante la negativa o falta de respuesta, se han vulnerado los derechos fundamentales de mi hijo(a) a la educación inclusiva (Art. 44 y 67 de la Constitución), a la igualdad (Art. 13) y a la dignidad humana (Art. 1).</w:t>
        <w:br w:type="textWrapping"/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240" w:lineRule="auto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7xbqmrvaqcft" w:id="3"/>
      <w:bookmarkEnd w:id="3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DERECHOS FUNDAMENTALES VULNERADOS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Derecho a la educación inclusiva (Art. 67 de la Constitución y Decreto 1421 de 2017).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Derecho a la igualdad y no discriminación (Art. 13 de la Constitución).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Derecho a la dignidad humana y al libre desarrollo de la personalidad (Art. 1 y 16 de la Constitución).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Derechos de los niños como sujetos de especial protección (Art. 44 de la Constitución).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240" w:lineRule="auto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yoyzwxyrxe3p" w:id="4"/>
      <w:bookmarkEnd w:id="4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FUNDAMENTOS JURÍDICOS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Sentencia SU-475 de 2023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La Corte Constitucional reiteró la obligación del Estado y las entidades privadas de garantizar apoyos educativos razonables para estudiantes con TEA.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Sentencia T-457 de 2019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Se estableció que la figura del acompañante terapéutico es un ajuste razonable cuando el estudiante lo requiere.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Ley 1618 de 2013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Ordena garantizar la educación inclusiva con ajustes razonables.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Decreto 1421 de 2017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Establece los ajustes razonables en el ámbito educativo para estudiantes con discapacidad.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240" w:lineRule="auto"/>
        <w:ind w:left="720" w:hanging="360"/>
        <w:rPr/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Artículo 86 de la Constitución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La tutela procede cuando un derecho fundamental es vulnerado por la acción u omisión de una entidad pública o privada.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240" w:lineRule="auto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he0lhgapaiw7" w:id="5"/>
      <w:bookmarkEnd w:id="5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PRETENSIONES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ORDENAR a [EPS/NOMBRE DEL COLEGIO] la asignación inmediata de un docente sombra o acompañante terapéutico para garantizar el derecho a la educación inclusiva de mi hijo(a), en cumplimiento de las normas vigentes y precedentes judiciales.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ORDENAR a [EPS/Colegio] que realice la valoración y ajuste de los mecanismos de inclusión para estudiantes con discapacidad, garantizando el cumplimiento del Decreto 1421 de 2017.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ADOPTAR medidas transitorias mientras se implementan los ajustes razonables, asegurando la permanencia y participación plena de mi hijo(a) en el entorno escolar.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Cualquier otra medida que el despacho considere necesaria para garantizar la protección de los derechos vulnerados.</w:t>
        <w:br w:type="textWrapping"/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240" w:lineRule="auto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jvy7j73u9136" w:id="6"/>
      <w:bookmarkEnd w:id="6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PRUEBAS QUE SE APORTAN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Copia del certificado médico y diagnóstico de TEA.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Copia de la solicitud radicada ante la EPS/Colegio y su respuesta (si la hay).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Copia del Certificado de Discapacidad expedido por la EPS (si aplica).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Normativa aplicable y sentencias de la Corte Constitucional.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="240" w:lineRule="auto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wuohdpw0jujz" w:id="7"/>
      <w:bookmarkEnd w:id="7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JURAMENTO</w:t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Bajo la gravedad del juramento, manifiesto que los hechos aquí expuestos son ciertos y que no he interpuesto otra acción con el mismo objeto.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="240" w:lineRule="auto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vis1mcaonv67" w:id="8"/>
      <w:bookmarkEnd w:id="8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NOTIFICACIONES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24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 mí, el accionante, en la dirección y correo antes indicados.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24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 la entidad accionada, en la dirección correspondiente.</w:t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Atentamente,</w:t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[Nombre del padre/madre o representante legal]</w:t>
        <w:br w:type="textWrapping"/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C.C. No. [Número de cédula]</w:t>
        <w:br w:type="textWrapping"/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Teléfono: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[Número de contacto]</w:t>
        <w:br w:type="textWrapping"/>
        <w:t xml:space="preserve">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Correo electrónico: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[Correo del accionante]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