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veat" w:cs="Caveat" w:eastAsia="Caveat" w:hAnsi="Caveat"/>
          <w:b w:val="1"/>
          <w:color w:val="434343"/>
          <w:sz w:val="30"/>
          <w:szCs w:val="30"/>
        </w:rPr>
      </w:pPr>
      <w:r w:rsidDel="00000000" w:rsidR="00000000" w:rsidRPr="00000000">
        <w:rPr>
          <w:rFonts w:ascii="Caveat" w:cs="Caveat" w:eastAsia="Caveat" w:hAnsi="Caveat"/>
          <w:b w:val="1"/>
          <w:color w:val="434343"/>
          <w:sz w:val="30"/>
          <w:szCs w:val="30"/>
          <w:rtl w:val="0"/>
        </w:rPr>
        <w:t xml:space="preserve">Formato guía para la elaboración del Plan Individual de Ajustes Razonables</w:t>
      </w:r>
    </w:p>
    <w:p w:rsidR="00000000" w:rsidDel="00000000" w:rsidP="00000000" w:rsidRDefault="00000000" w:rsidRPr="00000000" w14:paraId="00000002">
      <w:pPr>
        <w:jc w:val="center"/>
        <w:rPr>
          <w:rFonts w:ascii="Caveat" w:cs="Caveat" w:eastAsia="Caveat" w:hAnsi="Caveat"/>
          <w:b w:val="1"/>
          <w:color w:val="434343"/>
          <w:sz w:val="30"/>
          <w:szCs w:val="30"/>
        </w:rPr>
      </w:pPr>
      <w:r w:rsidDel="00000000" w:rsidR="00000000" w:rsidRPr="00000000">
        <w:rPr>
          <w:rFonts w:ascii="Caveat" w:cs="Caveat" w:eastAsia="Caveat" w:hAnsi="Caveat"/>
          <w:b w:val="1"/>
          <w:color w:val="434343"/>
          <w:sz w:val="30"/>
          <w:szCs w:val="30"/>
          <w:rtl w:val="0"/>
        </w:rPr>
        <w:t xml:space="preserve">PIAR</w:t>
      </w:r>
    </w:p>
    <w:p w:rsidR="00000000" w:rsidDel="00000000" w:rsidP="00000000" w:rsidRDefault="00000000" w:rsidRPr="00000000" w14:paraId="00000003">
      <w:pPr>
        <w:spacing w:line="240" w:lineRule="auto"/>
        <w:jc w:val="left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1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75"/>
        <w:gridCol w:w="3285"/>
        <w:gridCol w:w="8475"/>
        <w:tblGridChange w:id="0">
          <w:tblGrid>
            <w:gridCol w:w="3375"/>
            <w:gridCol w:w="3285"/>
            <w:gridCol w:w="8475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3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rFonts w:ascii="Caveat" w:cs="Caveat" w:eastAsia="Caveat" w:hAnsi="Cav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ANEXO</w:t>
            </w: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 2</w:t>
            </w:r>
          </w:p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  <w:color w:val="e7e6e6"/>
                <w:sz w:val="8"/>
                <w:szCs w:val="8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Información General de Elaboración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.491210937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08">
            <w:pPr>
              <w:spacing w:line="240" w:lineRule="auto"/>
              <w:jc w:val="left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Fecha y lugar de diligenciamiento: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tcBorders>
              <w:top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DD/MES/AÑO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Ciudad, Departamento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 de la persona que diligencia: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Tu nombre completo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 de la persona que apoya el diligenciamiento:</w:t>
            </w:r>
          </w:p>
        </w:tc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Nombre completo del docente de apoyo o de los demás docentes que apoyaron la elaboración del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PIAR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 del orientador escolar: </w:t>
            </w:r>
          </w:p>
        </w:tc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Nombre completo del orientador/a escolar. En caso de no contar con la figura de orientador escolar, se reemplaza con el nombre del coordinador académico. 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 de los terapeutas externos: </w:t>
            </w:r>
          </w:p>
        </w:tc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Nombre completo de los centros, lugares o personas individuales que apoyan el proceso terapéutico en forma externa. </w:t>
            </w:r>
          </w:p>
        </w:tc>
      </w:tr>
    </w:tbl>
    <w:p w:rsidR="00000000" w:rsidDel="00000000" w:rsidP="00000000" w:rsidRDefault="00000000" w:rsidRPr="00000000" w14:paraId="00000017">
      <w:pPr>
        <w:spacing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1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0"/>
        <w:gridCol w:w="2145"/>
        <w:gridCol w:w="675"/>
        <w:gridCol w:w="1335"/>
        <w:gridCol w:w="105"/>
        <w:gridCol w:w="9630"/>
        <w:tblGridChange w:id="0">
          <w:tblGrid>
            <w:gridCol w:w="1230"/>
            <w:gridCol w:w="2145"/>
            <w:gridCol w:w="675"/>
            <w:gridCol w:w="1335"/>
            <w:gridCol w:w="105"/>
            <w:gridCol w:w="9630"/>
          </w:tblGrid>
        </w:tblGridChange>
      </w:tblGrid>
      <w:tr>
        <w:trPr>
          <w:cantSplit w:val="0"/>
          <w:trHeight w:val="589.8000000000001" w:hRule="atLeast"/>
          <w:tblHeader w:val="0"/>
        </w:trPr>
        <w:tc>
          <w:tcPr>
            <w:gridSpan w:val="6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Caveat" w:cs="Caveat" w:eastAsia="Caveat" w:hAnsi="Cav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ANEXO</w:t>
            </w: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 2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  <w:color w:val="e7e6e6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Información General de la Personalidad, Carácter y Temperamento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F">
            <w:pPr>
              <w:spacing w:line="240" w:lineRule="auto"/>
              <w:jc w:val="left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Cualidades, gustos, intereses del estudiante: </w:t>
            </w:r>
          </w:p>
        </w:tc>
        <w:tc>
          <w:tcPr>
            <w:gridSpan w:val="4"/>
            <w:tcBorders>
              <w:top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Realiza una descripción de tu estudiante basado en los aspectos de su personalidad, carácter y temperamento.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Capacidades y talentos del estudiante: </w:t>
            </w:r>
          </w:p>
        </w:tc>
        <w:tc>
          <w:tcPr>
            <w:gridSpan w:val="4"/>
            <w:tcBorders>
              <w:top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Realiza una descripción de tu estudiante basado en sus habilidades.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B">
            <w:pPr>
              <w:spacing w:line="240" w:lineRule="auto"/>
              <w:jc w:val="left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Dificultades y acciones o situaciones que le desagradan: </w:t>
            </w:r>
          </w:p>
        </w:tc>
        <w:tc>
          <w:tcPr>
            <w:gridSpan w:val="4"/>
            <w:tcBorders>
              <w:top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Realiza una descripción de tu estudiante basado en sus dificultades de forma integral y aspectos que le desagradan que puedan ser relevantes en el día a día escolar.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25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95"/>
        <w:gridCol w:w="2250"/>
        <w:gridCol w:w="2430"/>
        <w:gridCol w:w="2235"/>
        <w:gridCol w:w="2205"/>
        <w:gridCol w:w="2085"/>
        <w:gridCol w:w="2055"/>
        <w:tblGridChange w:id="0">
          <w:tblGrid>
            <w:gridCol w:w="1995"/>
            <w:gridCol w:w="2250"/>
            <w:gridCol w:w="2430"/>
            <w:gridCol w:w="2235"/>
            <w:gridCol w:w="2205"/>
            <w:gridCol w:w="2085"/>
            <w:gridCol w:w="2055"/>
          </w:tblGrid>
        </w:tblGridChange>
      </w:tblGrid>
      <w:tr>
        <w:trPr>
          <w:cantSplit w:val="0"/>
          <w:trHeight w:val="589.8000000000001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rFonts w:ascii="Caveat" w:cs="Caveat" w:eastAsia="Caveat" w:hAnsi="Cav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ANEXO</w:t>
            </w: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 2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  <w:color w:val="e7e6e6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Información de las Objetivos y la Evaluación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Área de Aprendizaje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Elige las áreas completas acorde al PEI del colegio.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3C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Ciencias Sociales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Ciencias Naturales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Inglés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3F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Lenguaje/Español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40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Matemáticas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41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Casilla Adicional para un área o una dimensión del aprendizaje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42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Objetivos e Indicadores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6"/>
                <w:szCs w:val="16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6"/>
                <w:szCs w:val="16"/>
                <w:rtl w:val="0"/>
              </w:rPr>
              <w:t xml:space="preserve">Elige el lineamiento que utilizarás acorde al PEI del colegio: Estándares Básicos de Competencias -EBC- / Derechos Básicos de Aprendizaje -DBA- / Habilidades del Plan de Aprendizaje.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45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46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47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48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4A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Área de Aprendizaje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Elige las áreas completas acorde al PEI del colegio.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Educación Física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Educación Artística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Ética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Química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50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Física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51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Casilla Adicional para un área o una dimensión del aprendizaje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Objetivos e Indicadores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6"/>
                <w:szCs w:val="16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6"/>
                <w:szCs w:val="16"/>
                <w:rtl w:val="0"/>
              </w:rPr>
              <w:t xml:space="preserve">Elige el lineamiento que utilizarás acorde al PEI del colegio: Estándares Básicos de Competencias -EBC- / Derechos Básicos de Aprendizaje -DBA- / Habilidades del Plan de Aprendizaje.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56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57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58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59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spacing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527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15"/>
        <w:gridCol w:w="5040"/>
        <w:gridCol w:w="4785"/>
        <w:gridCol w:w="3630"/>
        <w:tblGridChange w:id="0">
          <w:tblGrid>
            <w:gridCol w:w="1815"/>
            <w:gridCol w:w="5040"/>
            <w:gridCol w:w="4785"/>
            <w:gridCol w:w="3630"/>
          </w:tblGrid>
        </w:tblGridChange>
      </w:tblGrid>
      <w:tr>
        <w:trPr>
          <w:cantSplit w:val="0"/>
          <w:trHeight w:val="589.8000000000001" w:hRule="atLeast"/>
          <w:tblHeader w:val="0"/>
        </w:trPr>
        <w:tc>
          <w:tcPr>
            <w:gridSpan w:val="4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5B">
            <w:pPr>
              <w:spacing w:line="240" w:lineRule="auto"/>
              <w:jc w:val="center"/>
              <w:rPr>
                <w:rFonts w:ascii="Caveat" w:cs="Caveat" w:eastAsia="Caveat" w:hAnsi="Cav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ANEXO</w:t>
            </w: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 2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  <w:color w:val="e7e6e6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Información de las Barreras y los Ajustes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Clasificación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Incluir las categorías que se consideren necesarias para el proceso de aprendizaje.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Barreras del entorno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Una barrera es cualquier obstáculo que impide o dificulta el acceso y la participación de los estudiantes en el entorno de aprendizaje. Estas barreras pueden ser de diversos tipos, incluyendo físicas, sensoriales, cognitivas, comunicativas, sociales, metodológicas y actitudinales.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Ajustes Razonables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color w:val="999999"/>
                <w:sz w:val="18"/>
                <w:szCs w:val="18"/>
                <w:rtl w:val="0"/>
              </w:rPr>
              <w:t xml:space="preserve">Un ajuste razonable se refiere a la flexibilización y adaptación que se realiza para disminuir la barrera identificada que está afectando el aprendizaje de los estudiantes.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67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Evaluación del Proceso del Aprendizaje</w:t>
            </w:r>
          </w:p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Se realiza contra los objetivos e indicadores con una periodicidad mínima de 3 veces al año o de acuerdo a la cantidad de reportes académicos que emita la institución educativa de acuerdo con el SIEE.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De las condiciones Físicas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A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D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E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F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De las condiciones Sensoriales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0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3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4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5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De las condiciones Cognitivas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6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9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A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De las condiciones Comunicativas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C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F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80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81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De las condiciones Sociales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82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85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86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87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De las condiciones Actitudinales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88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8B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8C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8D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De las condiciones de Acceso a la información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8E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91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92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93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De las condiciones de la Participación en actividades extracurriculares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94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95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96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97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De las condiciones de la Metodología de enseñanza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98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9A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9B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9C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De las condiciones de la evaluación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9D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A0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A1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spacing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527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75"/>
        <w:gridCol w:w="4410"/>
        <w:gridCol w:w="4155"/>
        <w:gridCol w:w="3630"/>
        <w:tblGridChange w:id="0">
          <w:tblGrid>
            <w:gridCol w:w="3075"/>
            <w:gridCol w:w="4410"/>
            <w:gridCol w:w="4155"/>
            <w:gridCol w:w="363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4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A3">
            <w:pPr>
              <w:spacing w:line="240" w:lineRule="auto"/>
              <w:jc w:val="center"/>
              <w:rPr>
                <w:rFonts w:ascii="Caveat" w:cs="Caveat" w:eastAsia="Caveat" w:hAnsi="Cav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ANEXO 2</w:t>
            </w:r>
          </w:p>
          <w:p w:rsidR="00000000" w:rsidDel="00000000" w:rsidP="00000000" w:rsidRDefault="00000000" w:rsidRPr="00000000" w14:paraId="000000A4">
            <w:pPr>
              <w:spacing w:line="240" w:lineRule="auto"/>
              <w:jc w:val="center"/>
              <w:rPr>
                <w:rFonts w:ascii="Caveat" w:cs="Caveat" w:eastAsia="Caveat" w:hAnsi="Cav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Recomendaciones para el plan de mejoramiento institucional para la eliminación de barreras y la creación de procesos para la participación, el aprendizaje y el progreso de los estudiantes: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A8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Actores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A9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Acciones 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AA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Estrategias a Implementar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AB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Cumplimiento de las </w:t>
            </w: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Estrategias a Implementar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AC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Del rol de la familia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AD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B0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B1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B2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De rol del estudiante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B3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B6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B7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B8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De rol de </w:t>
            </w:r>
          </w:p>
          <w:p w:rsidR="00000000" w:rsidDel="00000000" w:rsidP="00000000" w:rsidRDefault="00000000" w:rsidRPr="00000000" w14:paraId="000000B9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los pares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BA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BD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BE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BF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Del rol de los docentes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C0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C3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C4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C5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Del rol de los administrativos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C6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C9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CA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spacing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52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95"/>
        <w:gridCol w:w="1365"/>
        <w:gridCol w:w="1515"/>
        <w:gridCol w:w="1515"/>
        <w:gridCol w:w="1515"/>
        <w:gridCol w:w="1515"/>
        <w:gridCol w:w="6420"/>
        <w:tblGridChange w:id="0">
          <w:tblGrid>
            <w:gridCol w:w="1395"/>
            <w:gridCol w:w="1365"/>
            <w:gridCol w:w="1515"/>
            <w:gridCol w:w="1515"/>
            <w:gridCol w:w="1515"/>
            <w:gridCol w:w="1515"/>
            <w:gridCol w:w="642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7"/>
            <w:tcBorders>
              <w:top w:color="ebdcdc" w:space="0" w:sz="4" w:val="single"/>
              <w:left w:color="ebdcdc" w:space="0" w:sz="4" w:val="single"/>
              <w:bottom w:color="ebdcdc" w:space="0" w:sz="4" w:val="single"/>
            </w:tcBorders>
          </w:tcPr>
          <w:p w:rsidR="00000000" w:rsidDel="00000000" w:rsidP="00000000" w:rsidRDefault="00000000" w:rsidRPr="00000000" w14:paraId="000000CD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Observaciones: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Se incluye todo lo que se considere necesario para complementar el proceso. </w:t>
            </w:r>
          </w:p>
        </w:tc>
      </w:tr>
    </w:tbl>
    <w:p w:rsidR="00000000" w:rsidDel="00000000" w:rsidP="00000000" w:rsidRDefault="00000000" w:rsidRPr="00000000" w14:paraId="000000D4">
      <w:pPr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Josefin Sans" w:cs="Josefin Sans" w:eastAsia="Josefin Sans" w:hAnsi="Josefi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Caveat" w:cs="Caveat" w:eastAsia="Caveat" w:hAnsi="Caveat"/>
          <w:b w:val="1"/>
          <w:color w:val="434343"/>
          <w:sz w:val="36"/>
          <w:szCs w:val="36"/>
          <w:shd w:fill="ebdcdc" w:val="clear"/>
        </w:rPr>
      </w:pPr>
      <w:r w:rsidDel="00000000" w:rsidR="00000000" w:rsidRPr="00000000">
        <w:rPr>
          <w:rFonts w:ascii="Caveat" w:cs="Caveat" w:eastAsia="Caveat" w:hAnsi="Caveat"/>
          <w:b w:val="1"/>
          <w:color w:val="434343"/>
          <w:sz w:val="36"/>
          <w:szCs w:val="36"/>
          <w:shd w:fill="ebdcdc" w:val="clear"/>
          <w:rtl w:val="0"/>
        </w:rPr>
        <w:t xml:space="preserve">Alexandra Parra</w:t>
      </w:r>
    </w:p>
    <w:p w:rsidR="00000000" w:rsidDel="00000000" w:rsidP="00000000" w:rsidRDefault="00000000" w:rsidRPr="00000000" w14:paraId="000000D7">
      <w:pPr>
        <w:rPr>
          <w:rFonts w:ascii="Josefin Sans" w:cs="Josefin Sans" w:eastAsia="Josefin Sans" w:hAnsi="Josefin Sans"/>
          <w:sz w:val="16"/>
          <w:szCs w:val="16"/>
        </w:rPr>
      </w:pPr>
      <w:r w:rsidDel="00000000" w:rsidR="00000000" w:rsidRPr="00000000">
        <w:rPr>
          <w:rFonts w:ascii="Josefin Sans" w:cs="Josefin Sans" w:eastAsia="Josefin Sans" w:hAnsi="Josefin Sans"/>
          <w:sz w:val="16"/>
          <w:szCs w:val="16"/>
          <w:rtl w:val="0"/>
        </w:rPr>
        <w:t xml:space="preserve">Neuropsicóloga</w:t>
      </w:r>
      <w:r w:rsidDel="00000000" w:rsidR="00000000" w:rsidRPr="00000000">
        <w:rPr>
          <w:rFonts w:ascii="Josefin Sans" w:cs="Josefin Sans" w:eastAsia="Josefin Sans" w:hAnsi="Josefin Sans"/>
          <w:sz w:val="16"/>
          <w:szCs w:val="16"/>
          <w:rtl w:val="0"/>
        </w:rPr>
        <w:t xml:space="preserve"> y Pedagoga</w:t>
      </w:r>
    </w:p>
    <w:p w:rsidR="00000000" w:rsidDel="00000000" w:rsidP="00000000" w:rsidRDefault="00000000" w:rsidRPr="00000000" w14:paraId="000000D8">
      <w:pPr>
        <w:rPr>
          <w:rFonts w:ascii="Josefin Sans" w:cs="Josefin Sans" w:eastAsia="Josefin Sans" w:hAnsi="Josefin Sans"/>
          <w:sz w:val="16"/>
          <w:szCs w:val="16"/>
        </w:rPr>
      </w:pPr>
      <w:r w:rsidDel="00000000" w:rsidR="00000000" w:rsidRPr="00000000">
        <w:rPr>
          <w:rFonts w:ascii="Josefin Sans" w:cs="Josefin Sans" w:eastAsia="Josefin Sans" w:hAnsi="Josefin Sans"/>
          <w:sz w:val="16"/>
          <w:szCs w:val="16"/>
          <w:rtl w:val="0"/>
        </w:rPr>
        <w:t xml:space="preserve">Diseño elaborado por Alexandra Parra-Hernández</w:t>
      </w:r>
    </w:p>
    <w:p w:rsidR="00000000" w:rsidDel="00000000" w:rsidP="00000000" w:rsidRDefault="00000000" w:rsidRPr="00000000" w14:paraId="000000D9">
      <w:pPr>
        <w:rPr>
          <w:rFonts w:ascii="Josefin Sans" w:cs="Josefin Sans" w:eastAsia="Josefin Sans" w:hAnsi="Josefin Sans"/>
          <w:sz w:val="16"/>
          <w:szCs w:val="16"/>
        </w:rPr>
      </w:pPr>
      <w:r w:rsidDel="00000000" w:rsidR="00000000" w:rsidRPr="00000000">
        <w:rPr>
          <w:rFonts w:ascii="Josefin Sans" w:cs="Josefin Sans" w:eastAsia="Josefin Sans" w:hAnsi="Josefin Sans"/>
          <w:sz w:val="16"/>
          <w:szCs w:val="16"/>
          <w:rtl w:val="0"/>
        </w:rPr>
        <w:t xml:space="preserve">Al hacer copia o utilizarlo, citar los créditos a la autora</w:t>
      </w:r>
    </w:p>
    <w:p w:rsidR="00000000" w:rsidDel="00000000" w:rsidP="00000000" w:rsidRDefault="00000000" w:rsidRPr="00000000" w14:paraId="000000DA">
      <w:pPr>
        <w:rPr>
          <w:rFonts w:ascii="Josefin Sans" w:cs="Josefin Sans" w:eastAsia="Josefin Sans" w:hAnsi="Josefin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tabs>
          <w:tab w:val="left" w:leader="none" w:pos="3113"/>
        </w:tabs>
        <w:spacing w:line="240" w:lineRule="auto"/>
        <w:jc w:val="center"/>
        <w:rPr>
          <w:rFonts w:ascii="Century Gothic" w:cs="Century Gothic" w:eastAsia="Century Gothic" w:hAnsi="Century Gothic"/>
          <w:color w:val="bfbfbf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Josefin Sans" w:cs="Josefin Sans" w:eastAsia="Josefin Sans" w:hAnsi="Josefin Sans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1909" w:w="16834" w:orient="landscape"/>
      <w:pgMar w:bottom="1440.0000000000002" w:top="1440.0000000000002" w:left="850.3937007874016" w:right="708.6614173228347" w:header="1984.2519685039372" w:footer="2267.71653543307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veat">
    <w:embedRegular w:fontKey="{00000000-0000-0000-0000-000000000000}" r:id="rId5" w:subsetted="0"/>
    <w:embedBold w:fontKey="{00000000-0000-0000-0000-000000000000}" r:id="rId6" w:subsetted="0"/>
  </w:font>
  <w:font w:name="Nun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Josefi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Century Gothic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-552449</wp:posOffset>
          </wp:positionH>
          <wp:positionV relativeFrom="paragraph">
            <wp:posOffset>285750</wp:posOffset>
          </wp:positionV>
          <wp:extent cx="10837805" cy="136207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837805" cy="136207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D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-10949</wp:posOffset>
          </wp:positionH>
          <wp:positionV relativeFrom="page">
            <wp:posOffset>-10799</wp:posOffset>
          </wp:positionV>
          <wp:extent cx="10721813" cy="1360431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21813" cy="136043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JosefinSans-regular.ttf"/><Relationship Id="rId10" Type="http://schemas.openxmlformats.org/officeDocument/2006/relationships/font" Target="fonts/Nunito-boldItalic.ttf"/><Relationship Id="rId13" Type="http://schemas.openxmlformats.org/officeDocument/2006/relationships/font" Target="fonts/JosefinSans-italic.ttf"/><Relationship Id="rId12" Type="http://schemas.openxmlformats.org/officeDocument/2006/relationships/font" Target="fonts/JosefinSans-bold.ttf"/><Relationship Id="rId1" Type="http://schemas.openxmlformats.org/officeDocument/2006/relationships/font" Target="fonts/NunitoSemiBold-regular.ttf"/><Relationship Id="rId2" Type="http://schemas.openxmlformats.org/officeDocument/2006/relationships/font" Target="fonts/NunitoSemiBold-bold.ttf"/><Relationship Id="rId3" Type="http://schemas.openxmlformats.org/officeDocument/2006/relationships/font" Target="fonts/NunitoSemiBold-italic.ttf"/><Relationship Id="rId4" Type="http://schemas.openxmlformats.org/officeDocument/2006/relationships/font" Target="fonts/NunitoSemiBold-boldItalic.ttf"/><Relationship Id="rId9" Type="http://schemas.openxmlformats.org/officeDocument/2006/relationships/font" Target="fonts/Nunito-italic.ttf"/><Relationship Id="rId15" Type="http://schemas.openxmlformats.org/officeDocument/2006/relationships/font" Target="fonts/CenturyGothic-regular.ttf"/><Relationship Id="rId14" Type="http://schemas.openxmlformats.org/officeDocument/2006/relationships/font" Target="fonts/JosefinSans-boldItalic.ttf"/><Relationship Id="rId17" Type="http://schemas.openxmlformats.org/officeDocument/2006/relationships/font" Target="fonts/CenturyGothic-italic.ttf"/><Relationship Id="rId16" Type="http://schemas.openxmlformats.org/officeDocument/2006/relationships/font" Target="fonts/CenturyGothic-bold.ttf"/><Relationship Id="rId5" Type="http://schemas.openxmlformats.org/officeDocument/2006/relationships/font" Target="fonts/Caveat-regular.ttf"/><Relationship Id="rId6" Type="http://schemas.openxmlformats.org/officeDocument/2006/relationships/font" Target="fonts/Caveat-bold.ttf"/><Relationship Id="rId18" Type="http://schemas.openxmlformats.org/officeDocument/2006/relationships/font" Target="fonts/CenturyGothic-boldItalic.ttf"/><Relationship Id="rId7" Type="http://schemas.openxmlformats.org/officeDocument/2006/relationships/font" Target="fonts/Nunito-regular.ttf"/><Relationship Id="rId8" Type="http://schemas.openxmlformats.org/officeDocument/2006/relationships/font" Target="fonts/Nunit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