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veat" w:cs="Caveat" w:eastAsia="Caveat" w:hAnsi="Caveat"/>
          <w:b w:val="1"/>
          <w:bCs w:val="1"/>
          <w:color w:val="434343"/>
          <w:sz w:val="30"/>
          <w:szCs w:val="30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color w:val="434343"/>
          <w:sz w:val="30"/>
          <w:szCs w:val="30"/>
          <w:rtl w:val="0"/>
        </w:rPr>
        <w:t xml:space="preserve">Plantilla guía para Remisión Institucional</w:t>
      </w:r>
    </w:p>
    <w:p w:rsidR="00000000" w:rsidDel="00000000" w:rsidP="00000000" w:rsidRDefault="00000000" w:rsidRPr="00000000" w14:paraId="00000002">
      <w:pPr>
        <w:jc w:val="center"/>
        <w:rPr>
          <w:rFonts w:ascii="Nunito" w:cs="Nunito" w:eastAsia="Nunito" w:hAnsi="Nunito"/>
          <w:b w:val="1"/>
          <w:bCs w:val="1"/>
          <w:color w:val="f29c2b"/>
          <w:sz w:val="20"/>
          <w:szCs w:val="20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color w:val="434343"/>
          <w:sz w:val="30"/>
          <w:szCs w:val="30"/>
          <w:rtl w:val="0"/>
        </w:rPr>
        <w:t xml:space="preserve">Orientación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Nunito" w:cs="Nunito" w:eastAsia="Nunito" w:hAnsi="Nunito"/>
          <w:color w:val="434343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sz w:val="20"/>
          <w:szCs w:val="20"/>
          <w:rtl w:val="0"/>
        </w:rPr>
        <w:t xml:space="preserve">DATOS BÁSICOS</w:t>
      </w: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3525"/>
        <w:gridCol w:w="6345"/>
        <w:tblGridChange w:id="0">
          <w:tblGrid>
            <w:gridCol w:w="3525"/>
            <w:gridCol w:w="634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Fecha de diligenciamiento: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Nunito" w:cs="Nunito" w:eastAsia="Nunito" w:hAnsi="Nunito"/>
                <w:color w:val="999999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999999"/>
                <w:sz w:val="20"/>
                <w:szCs w:val="20"/>
                <w:rtl w:val="0"/>
              </w:rPr>
              <w:t xml:space="preserve">24/02/2026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Servicio a que se remite: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Nunito" w:cs="Nunito" w:eastAsia="Nunito" w:hAnsi="Nunito"/>
                <w:color w:val="999999"/>
                <w:sz w:val="14"/>
                <w:szCs w:val="14"/>
              </w:rPr>
            </w:pPr>
            <w:r w:rsidDel="00000000" w:rsidR="00000000" w:rsidRPr="00000000">
              <w:rPr>
                <w:rFonts w:ascii="Nunito" w:cs="Nunito" w:eastAsia="Nunito" w:hAnsi="Nunito"/>
                <w:color w:val="999999"/>
                <w:sz w:val="20"/>
                <w:szCs w:val="20"/>
                <w:rtl w:val="0"/>
              </w:rPr>
              <w:t xml:space="preserve">Sector Salud </w:t>
            </w:r>
            <w:r w:rsidDel="00000000" w:rsidR="00000000" w:rsidRPr="00000000">
              <w:rPr>
                <w:rFonts w:ascii="Nunito" w:cs="Nunito" w:eastAsia="Nunito" w:hAnsi="Nunito"/>
                <w:color w:val="999999"/>
                <w:sz w:val="14"/>
                <w:szCs w:val="14"/>
                <w:rtl w:val="0"/>
              </w:rPr>
              <w:t xml:space="preserve">(Pueden indicar el área si la conocen. Eje.: Psicología Clínica)</w:t>
            </w:r>
          </w:p>
        </w:tc>
      </w:tr>
    </w:tbl>
    <w:p w:rsidR="00000000" w:rsidDel="00000000" w:rsidP="00000000" w:rsidRDefault="00000000" w:rsidRPr="00000000" w14:paraId="00000008">
      <w:pPr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Nunito" w:cs="Nunito" w:eastAsia="Nunito" w:hAnsi="Nunito"/>
          <w:color w:val="434343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sz w:val="20"/>
          <w:szCs w:val="20"/>
          <w:rtl w:val="0"/>
        </w:rPr>
        <w:t xml:space="preserve">DATOS GENERALES</w:t>
      </w: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2295"/>
        <w:gridCol w:w="3900"/>
        <w:gridCol w:w="1440"/>
        <w:gridCol w:w="2265"/>
        <w:tblGridChange w:id="0">
          <w:tblGrid>
            <w:gridCol w:w="2295"/>
            <w:gridCol w:w="3900"/>
            <w:gridCol w:w="1440"/>
            <w:gridCol w:w="22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Nombre y apellidos: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Amaia Montero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Edad: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16 años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Documento y número: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T.I No.1.000.000.000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Grado: 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Noveno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Madre: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Lucía De Montero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Padre:</w:t>
            </w:r>
          </w:p>
        </w:tc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Carlos Montero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76" w:lineRule="auto"/>
        <w:rPr>
          <w:rFonts w:ascii="Nunito" w:cs="Nunito" w:eastAsia="Nunito" w:hAnsi="Nuni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sz w:val="20"/>
          <w:szCs w:val="20"/>
          <w:rtl w:val="0"/>
        </w:rPr>
        <w:t xml:space="preserve">REMISIÓN </w:t>
      </w:r>
    </w:p>
    <w:tbl>
      <w:tblPr>
        <w:tblStyle w:val="Table3"/>
        <w:tblW w:w="98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75"/>
        <w:gridCol w:w="7095"/>
        <w:tblGridChange w:id="0">
          <w:tblGrid>
            <w:gridCol w:w="2775"/>
            <w:gridCol w:w="709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f29c2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MOTIVO: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  Se solicita valoración por Medicina General con fines de derivación prioritaria a Psicología Clínica y/o Psiquiatría. El estudiante presenta una descompensación en su esfera emocional que impacta su funcionamiento en el entorno escolar, requiriendo un abordaje clínico que trasciende el alcance pedagógico de la institución.</w:t>
              <w:br w:type="textWrapping"/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DESCRIPCIÓN COMPORTAMENTAL Y HALLAZGOS: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spacing w:after="0" w:afterAutospacing="0" w:before="24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Manifestaciones físicas: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 Se observan episodios de desregulación durante las clases, caracterizados por temblor distal (manos) y conductas autolesivas superficiales de carácter repetitivo (escoriaciones en rostro por pellizcamiento).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afterAutospacing="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Esfera afectiva: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 El estudiante reporta sentimientos de abrumación, rumiación constante frente a situaciones del entorno y alteraciones en el patrón de sueño (insomnio inicial).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spacing w:after="0" w:afterAutospacing="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Antecedentes: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 Refiere historial clínico de depresión y ansiedad (verificar vigencia de tratamiento e historía clínica dado que el colegio no cuenta con soportes ni documentación).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24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Acción Institucional: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 Orientación Escolar ha realizado contención inicial y psicoeducación; sin embargo, los síntomas persisten e inciden en su proceso de aprendizaje y socialización.</w:t>
            </w:r>
          </w:p>
          <w:p w:rsidR="00000000" w:rsidDel="00000000" w:rsidP="00000000" w:rsidRDefault="00000000" w:rsidRPr="00000000" w14:paraId="0000001D">
            <w:pPr>
              <w:spacing w:after="240" w:before="240" w:line="276" w:lineRule="auto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SOLICITUD AL SECTOR SALUD. 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Se solicita formalmente: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afterAutospacing="0" w:before="24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Evaluación diagnóstica integral.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afterAutospacing="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Definición de plan de manejo farmacológico y/o psicoterapéutico según criterio médico.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24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Remisión de recomendaciones específicas para el entorno escolar (ajustes razonables en el aula si aplica).</w:t>
            </w:r>
          </w:p>
          <w:p w:rsidR="00000000" w:rsidDel="00000000" w:rsidP="00000000" w:rsidRDefault="00000000" w:rsidRPr="00000000" w14:paraId="00000021">
            <w:pPr>
              <w:spacing w:after="240" w:before="240" w:line="276" w:lineRule="auto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SOLICITUD A LA FAMILIA:</w:t>
            </w: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after="0" w:afterAutospacing="0" w:before="24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Certificado de asistencia y diagnóstico (si aplica).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0" w:afterAutospacing="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Informe de seguimiento y avance de plan de manejo farmacológico y/o psicoterapéutico según criterio médico.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240" w:before="0" w:beforeAutospacing="0" w:line="276" w:lineRule="auto"/>
              <w:ind w:left="720" w:hanging="360"/>
              <w:rPr>
                <w:rFonts w:ascii="Nunito" w:cs="Nunito" w:eastAsia="Nunito" w:hAnsi="Nunito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Remisión de las recomendaciones recomendaciones específicas para el entorno escolar (ajustes razonables en el aula si aplica).</w:t>
            </w:r>
          </w:p>
          <w:p w:rsidR="00000000" w:rsidDel="00000000" w:rsidP="00000000" w:rsidRDefault="00000000" w:rsidRPr="00000000" w14:paraId="00000025">
            <w:pPr>
              <w:spacing w:after="240" w:before="240" w:line="276" w:lineRule="auto"/>
              <w:ind w:left="0" w:firstLine="0"/>
              <w:rPr>
                <w:rFonts w:ascii="Nunito" w:cs="Nunito" w:eastAsia="Nunito" w:hAnsi="Nunito"/>
                <w:color w:val="43434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rtl w:val="0"/>
              </w:rPr>
              <w:t xml:space="preserve">La información será incorpoarada al expediente del estudiante y el PIAR (si aplica).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Nunito" w:cs="Nunito" w:eastAsia="Nunito" w:hAnsi="Nuni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sz w:val="20"/>
          <w:szCs w:val="20"/>
          <w:rtl w:val="0"/>
        </w:rPr>
        <w:t xml:space="preserve">CONSTANCIA DE NOTIFICACIÓN Y ENTREGA:</w:t>
      </w:r>
    </w:p>
    <w:tbl>
      <w:tblPr>
        <w:tblStyle w:val="Table4"/>
        <w:tblW w:w="99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7560"/>
        <w:tblGridChange w:id="0">
          <w:tblGrid>
            <w:gridCol w:w="2370"/>
            <w:gridCol w:w="75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f29c2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76" w:lineRule="auto"/>
              <w:rPr>
                <w:rFonts w:ascii="Nunito" w:cs="Nunito" w:eastAsia="Nunito" w:hAnsi="Nunito"/>
                <w:color w:val="434343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434343"/>
                <w:sz w:val="20"/>
                <w:szCs w:val="20"/>
                <w:highlight w:val="white"/>
                <w:rtl w:val="0"/>
              </w:rPr>
              <w:t xml:space="preserve">La presente remisión fue notificada y entregada a la señora Lucía de Montero el día 24 de febrero de 2026 mediante dos canales: vía correo electrónico (lm@gmail.com) y de forma física durante la sesión de orientación realizada en la misma fecha.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Nunito" w:cs="Nunito" w:eastAsia="Nunito" w:hAnsi="Nunito"/>
          <w:color w:val="434343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sz w:val="20"/>
          <w:szCs w:val="20"/>
          <w:rtl w:val="0"/>
        </w:rPr>
        <w:t xml:space="preserve">FIRMA</w:t>
      </w:r>
      <w:r w:rsidDel="00000000" w:rsidR="00000000" w:rsidRPr="00000000">
        <w:rPr>
          <w:rtl w:val="0"/>
        </w:rPr>
      </w:r>
    </w:p>
    <w:tbl>
      <w:tblPr>
        <w:tblStyle w:val="Table5"/>
        <w:tblW w:w="5505.0" w:type="dxa"/>
        <w:jc w:val="center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600"/>
      </w:tblPr>
      <w:tblGrid>
        <w:gridCol w:w="2790"/>
        <w:gridCol w:w="2715"/>
        <w:tblGridChange w:id="0">
          <w:tblGrid>
            <w:gridCol w:w="2790"/>
            <w:gridCol w:w="27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ebdc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  <w:rtl w:val="0"/>
              </w:rPr>
              <w:t xml:space="preserve">Ana Lu Pacifíca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Orientador/a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color w:val="666666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C.C. 20.000.000 de Soledad Atlántico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>
          <w:rFonts w:ascii="Nunito" w:cs="Nunito" w:eastAsia="Nunito" w:hAnsi="Nuni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434343"/>
          <w:sz w:val="20"/>
          <w:szCs w:val="20"/>
          <w:rtl w:val="0"/>
        </w:rPr>
        <w:t xml:space="preserve">Del formato:</w:t>
      </w:r>
    </w:p>
    <w:p w:rsidR="00000000" w:rsidDel="00000000" w:rsidP="00000000" w:rsidRDefault="00000000" w:rsidRPr="00000000" w14:paraId="00000037">
      <w:pPr>
        <w:rPr>
          <w:rFonts w:ascii="Josefin Sans" w:cs="Josefin Sans" w:eastAsia="Josefin Sans" w:hAnsi="Josefin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veat" w:cs="Caveat" w:eastAsia="Caveat" w:hAnsi="Caveat"/>
          <w:b w:val="1"/>
          <w:bCs w:val="1"/>
          <w:color w:val="434343"/>
          <w:sz w:val="36"/>
          <w:szCs w:val="36"/>
          <w:shd w:fill="ebdcdc" w:val="clear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color w:val="434343"/>
          <w:sz w:val="36"/>
          <w:szCs w:val="36"/>
          <w:shd w:fill="ebdcdc" w:val="clear"/>
          <w:rtl w:val="0"/>
        </w:rPr>
        <w:t xml:space="preserve">Alexandra Parra</w:t>
      </w:r>
    </w:p>
    <w:p w:rsidR="00000000" w:rsidDel="00000000" w:rsidP="00000000" w:rsidRDefault="00000000" w:rsidRPr="00000000" w14:paraId="00000039">
      <w:pPr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Fonts w:ascii="Josefin Sans" w:cs="Josefin Sans" w:eastAsia="Josefin Sans" w:hAnsi="Josefin Sans"/>
          <w:sz w:val="16"/>
          <w:szCs w:val="16"/>
          <w:rtl w:val="0"/>
        </w:rPr>
        <w:t xml:space="preserve">Neuropsicóloga</w:t>
      </w:r>
      <w:r w:rsidDel="00000000" w:rsidR="00000000" w:rsidRPr="00000000">
        <w:rPr>
          <w:rFonts w:ascii="Josefin Sans" w:cs="Josefin Sans" w:eastAsia="Josefin Sans" w:hAnsi="Josefin Sans"/>
          <w:sz w:val="16"/>
          <w:szCs w:val="16"/>
          <w:rtl w:val="0"/>
        </w:rPr>
        <w:t xml:space="preserve"> y Pedagoga</w:t>
      </w:r>
    </w:p>
    <w:p w:rsidR="00000000" w:rsidDel="00000000" w:rsidP="00000000" w:rsidRDefault="00000000" w:rsidRPr="00000000" w14:paraId="0000003A">
      <w:pPr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Fonts w:ascii="Josefin Sans" w:cs="Josefin Sans" w:eastAsia="Josefin Sans" w:hAnsi="Josefin Sans"/>
          <w:sz w:val="16"/>
          <w:szCs w:val="16"/>
          <w:rtl w:val="0"/>
        </w:rPr>
        <w:t xml:space="preserve">Diseño elaborado por Alexandra Parra-Hernández</w:t>
      </w:r>
    </w:p>
    <w:p w:rsidR="00000000" w:rsidDel="00000000" w:rsidP="00000000" w:rsidRDefault="00000000" w:rsidRPr="00000000" w14:paraId="0000003B">
      <w:pPr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Fonts w:ascii="Josefin Sans" w:cs="Josefin Sans" w:eastAsia="Josefin Sans" w:hAnsi="Josefin Sans"/>
          <w:sz w:val="16"/>
          <w:szCs w:val="16"/>
          <w:rtl w:val="0"/>
        </w:rPr>
        <w:t xml:space="preserve">Al hacer copia o utilizarlo, citar los créditos a la autora</w:t>
      </w:r>
    </w:p>
    <w:p w:rsidR="00000000" w:rsidDel="00000000" w:rsidP="00000000" w:rsidRDefault="00000000" w:rsidRPr="00000000" w14:paraId="0000003C">
      <w:pPr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Josefin Sans" w:cs="Josefin Sans" w:eastAsia="Josefin Sans" w:hAnsi="Josefin Sans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850.3937007874016" w:right="708.5433070866151" w:header="1700.7874015748032" w:footer="1417.32283464566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  <w:font w:name="Nuni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Josefi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-550949</wp:posOffset>
          </wp:positionH>
          <wp:positionV relativeFrom="paragraph">
            <wp:posOffset>114300</wp:posOffset>
          </wp:positionV>
          <wp:extent cx="7581900" cy="95597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9559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-10949</wp:posOffset>
          </wp:positionH>
          <wp:positionV relativeFrom="page">
            <wp:posOffset>-10799</wp:posOffset>
          </wp:positionV>
          <wp:extent cx="7582527" cy="95726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2527" cy="9572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tblPr>
      <w:tblStyleRowBandSize w:val="1"/>
      <w:tblStyleColBandSize w:val="1"/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Nunito-regular.ttf"/><Relationship Id="rId4" Type="http://schemas.openxmlformats.org/officeDocument/2006/relationships/font" Target="fonts/Nunito-bold.ttf"/><Relationship Id="rId10" Type="http://schemas.openxmlformats.org/officeDocument/2006/relationships/font" Target="fonts/JosefinSans-boldItalic.ttf"/><Relationship Id="rId9" Type="http://schemas.openxmlformats.org/officeDocument/2006/relationships/font" Target="fonts/JosefinSans-italic.ttf"/><Relationship Id="rId5" Type="http://schemas.openxmlformats.org/officeDocument/2006/relationships/font" Target="fonts/Nunito-italic.ttf"/><Relationship Id="rId6" Type="http://schemas.openxmlformats.org/officeDocument/2006/relationships/font" Target="fonts/Nunito-boldItalic.ttf"/><Relationship Id="rId7" Type="http://schemas.openxmlformats.org/officeDocument/2006/relationships/font" Target="fonts/JosefinSans-regular.ttf"/><Relationship Id="rId8" Type="http://schemas.openxmlformats.org/officeDocument/2006/relationships/font" Target="fonts/Josefin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