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Layout"/>
        <w:tblW w:w="0" w:type="auto"/>
        <w:jc w:val="center"/>
        <w:tblLayout w:type="fixed"/>
        <w:tblLook w:val="04A0" w:firstRow="1" w:lastRow="0" w:firstColumn="1" w:lastColumn="0" w:noHBand="0" w:noVBand="1"/>
        <w:tblDescription w:val="Brochure layout table page 1"/>
      </w:tblPr>
      <w:tblGrid>
        <w:gridCol w:w="3840"/>
        <w:gridCol w:w="713"/>
        <w:gridCol w:w="713"/>
        <w:gridCol w:w="3843"/>
        <w:gridCol w:w="720"/>
        <w:gridCol w:w="720"/>
        <w:gridCol w:w="3851"/>
      </w:tblGrid>
      <w:tr w:rsidR="00375140" w14:paraId="71F65A3C" w14:textId="77777777" w:rsidTr="0028791E">
        <w:trPr>
          <w:trHeight w:hRule="exact" w:val="11160"/>
          <w:jc w:val="center"/>
        </w:trPr>
        <w:tc>
          <w:tcPr>
            <w:tcW w:w="3840" w:type="dxa"/>
          </w:tcPr>
          <w:p w14:paraId="4E549CCB" w14:textId="77777777" w:rsidR="0090164C" w:rsidRDefault="0090164C"/>
          <w:p w14:paraId="1F0FF87B" w14:textId="77777777" w:rsidR="00375140" w:rsidRDefault="00F81EDB">
            <w:r>
              <w:rPr>
                <w:noProof/>
                <w:lang w:eastAsia="en-US"/>
              </w:rPr>
              <w:drawing>
                <wp:inline distT="0" distB="0" distL="0" distR="0" wp14:anchorId="174C1E4B" wp14:editId="5E32D286">
                  <wp:extent cx="2438400" cy="14287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lk[1]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BC4D44" w14:textId="77777777" w:rsidR="00375140" w:rsidRPr="00F81EDB" w:rsidRDefault="00F81EDB">
            <w:pPr>
              <w:pStyle w:val="Caption"/>
              <w:rPr>
                <w:b/>
                <w:sz w:val="18"/>
                <w:szCs w:val="18"/>
              </w:rPr>
            </w:pPr>
            <w:r w:rsidRPr="00F81EDB">
              <w:rPr>
                <w:b/>
                <w:sz w:val="18"/>
                <w:szCs w:val="18"/>
              </w:rPr>
              <w:t>Helping people Raise their Standards one step at a time while moving forward in life.</w:t>
            </w:r>
          </w:p>
          <w:p w14:paraId="4CED0796" w14:textId="77777777" w:rsidR="00FF04D8" w:rsidRDefault="00436842" w:rsidP="005A66C7">
            <w:pPr>
              <w:spacing w:line="360" w:lineRule="auto"/>
              <w:ind w:firstLine="360"/>
            </w:pPr>
            <w:r>
              <w:t xml:space="preserve">Raising A Standard, Inc. work with People with Mental Illness and Individuals on some form of Probation or being released from Incarceration.  </w:t>
            </w:r>
          </w:p>
          <w:p w14:paraId="3C48F62F" w14:textId="77777777" w:rsidR="005A66C7" w:rsidRDefault="005A66C7" w:rsidP="005A66C7">
            <w:pPr>
              <w:spacing w:line="360" w:lineRule="auto"/>
              <w:ind w:firstLine="360"/>
            </w:pPr>
            <w:r>
              <w:t xml:space="preserve">This will be carried out with </w:t>
            </w:r>
            <w:r>
              <w:rPr>
                <w:b/>
                <w:u w:val="single"/>
              </w:rPr>
              <w:t>I</w:t>
            </w:r>
            <w:r>
              <w:t xml:space="preserve">ntegrity, </w:t>
            </w:r>
            <w:r w:rsidRPr="00A52592">
              <w:rPr>
                <w:b/>
                <w:u w:val="single"/>
              </w:rPr>
              <w:t>C</w:t>
            </w:r>
            <w:r>
              <w:t xml:space="preserve">ommitment, </w:t>
            </w:r>
            <w:r w:rsidRPr="00A52592">
              <w:rPr>
                <w:b/>
                <w:u w:val="single"/>
              </w:rPr>
              <w:t>A</w:t>
            </w:r>
            <w:r>
              <w:t xml:space="preserve">dvocacy, </w:t>
            </w:r>
            <w:r w:rsidRPr="00A52592">
              <w:rPr>
                <w:b/>
              </w:rPr>
              <w:t>R</w:t>
            </w:r>
            <w:r>
              <w:t>espect</w:t>
            </w:r>
          </w:p>
          <w:p w14:paraId="56194A1B" w14:textId="77777777" w:rsidR="00375140" w:rsidRDefault="00375140" w:rsidP="005A66C7">
            <w:pPr>
              <w:pStyle w:val="ListBullet"/>
              <w:numPr>
                <w:ilvl w:val="0"/>
                <w:numId w:val="0"/>
              </w:numPr>
              <w:ind w:left="288"/>
            </w:pPr>
          </w:p>
        </w:tc>
        <w:tc>
          <w:tcPr>
            <w:tcW w:w="713" w:type="dxa"/>
          </w:tcPr>
          <w:p w14:paraId="233CD044" w14:textId="77777777" w:rsidR="00375140" w:rsidRDefault="00375140"/>
        </w:tc>
        <w:tc>
          <w:tcPr>
            <w:tcW w:w="713" w:type="dxa"/>
          </w:tcPr>
          <w:p w14:paraId="6F0E8E1A" w14:textId="77777777" w:rsidR="00375140" w:rsidRDefault="00375140"/>
        </w:tc>
        <w:tc>
          <w:tcPr>
            <w:tcW w:w="3843" w:type="dxa"/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843"/>
            </w:tblGrid>
            <w:tr w:rsidR="00375140" w14:paraId="52B4BBA1" w14:textId="77777777">
              <w:trPr>
                <w:trHeight w:hRule="exact" w:val="7920"/>
              </w:trPr>
              <w:tc>
                <w:tcPr>
                  <w:tcW w:w="5000" w:type="pct"/>
                </w:tcPr>
                <w:p w14:paraId="1C6E6DA3" w14:textId="77777777" w:rsidR="00375140" w:rsidRDefault="00B467AD">
                  <w:pPr>
                    <w:pStyle w:val="Heading1"/>
                  </w:pPr>
                  <w:r>
                    <w:t>Who We Are</w:t>
                  </w:r>
                </w:p>
                <w:p w14:paraId="5370D929" w14:textId="77777777" w:rsidR="00375140" w:rsidRDefault="00B467AD">
                  <w:pPr>
                    <w:pStyle w:val="Heading2"/>
                  </w:pPr>
                  <w:r>
                    <w:t>About Us</w:t>
                  </w:r>
                </w:p>
                <w:p w14:paraId="2B47D6A8" w14:textId="77777777" w:rsidR="00A422E7" w:rsidRDefault="004A222A" w:rsidP="00A422E7">
                  <w:r>
                    <w:t>Raising A Standa</w:t>
                  </w:r>
                  <w:r w:rsidR="00181077">
                    <w:t>rd, Inc. was established in 1999</w:t>
                  </w:r>
                  <w:r>
                    <w:t xml:space="preserve">.  Providing Job Coaching, Supported Employment, Job Development and Soft Skill Trainings to person with Disabilities.  </w:t>
                  </w:r>
                </w:p>
                <w:p w14:paraId="7E02BFEC" w14:textId="77777777" w:rsidR="004A222A" w:rsidRDefault="004A222A" w:rsidP="00A422E7">
                  <w:r>
                    <w:t xml:space="preserve">Our Agency provides motivational workshops to families and youth.  We believe in dealing with the root of the issue </w:t>
                  </w:r>
                  <w:r w:rsidR="00563136">
                    <w:t xml:space="preserve">that will eventually produce positive and successful outcomes over coming all circumstances and situations life brings.  You can achieve this by Raising </w:t>
                  </w:r>
                  <w:r w:rsidR="001A74F8">
                    <w:t>a</w:t>
                  </w:r>
                  <w:r w:rsidR="00563136">
                    <w:t xml:space="preserve"> Standard in life and moving forward to become a positive and successful citizen one step at a time.</w:t>
                  </w:r>
                </w:p>
                <w:p w14:paraId="4A89B938" w14:textId="77777777" w:rsidR="005A66C7" w:rsidRPr="005A66C7" w:rsidRDefault="005A66C7" w:rsidP="005A66C7">
                  <w:r w:rsidRPr="005A66C7">
                    <w:t>Dunns &amp; Bradstreet               Sams.gov</w:t>
                  </w:r>
                </w:p>
                <w:p w14:paraId="2093762F" w14:textId="77777777" w:rsidR="005A66C7" w:rsidRPr="005A66C7" w:rsidRDefault="005A66C7" w:rsidP="005A66C7">
                  <w:r>
                    <w:t xml:space="preserve">Febdbizzopps.gov     </w:t>
                  </w:r>
                  <w:r w:rsidRPr="005A66C7">
                    <w:t>Georgia Secretary of State</w:t>
                  </w:r>
                </w:p>
                <w:p w14:paraId="54299E92" w14:textId="77777777" w:rsidR="00A422E7" w:rsidRDefault="00A422E7" w:rsidP="00A422E7">
                  <w:pPr>
                    <w:pStyle w:val="Heading2"/>
                  </w:pPr>
                  <w:r>
                    <w:t>Contact Us</w:t>
                  </w:r>
                </w:p>
                <w:p w14:paraId="05094782" w14:textId="761A1AFB" w:rsidR="001A2D51" w:rsidRDefault="00563136" w:rsidP="00A422E7">
                  <w:r>
                    <w:t>Phone: 678-392-6224</w:t>
                  </w:r>
                  <w:r>
                    <w:br/>
                    <w:t xml:space="preserve">Email: </w:t>
                  </w:r>
                  <w:hyperlink r:id="rId7" w:history="1">
                    <w:r w:rsidR="001A2D51" w:rsidRPr="001B4D30">
                      <w:rPr>
                        <w:rStyle w:val="Hyperlink"/>
                      </w:rPr>
                      <w:t>raisingastandard1@gmail.com</w:t>
                    </w:r>
                  </w:hyperlink>
                </w:p>
                <w:p w14:paraId="2C1721B4" w14:textId="77777777" w:rsidR="001A2D51" w:rsidRDefault="001A2D51" w:rsidP="00A422E7">
                  <w:r>
                    <w:t>Website: raisingastandard1.com</w:t>
                  </w:r>
                </w:p>
                <w:p w14:paraId="5BB53B67" w14:textId="12D26270" w:rsidR="00375140" w:rsidRDefault="005A66C7" w:rsidP="00A422E7">
                  <w:r>
                    <w:br/>
                  </w:r>
                </w:p>
              </w:tc>
            </w:tr>
            <w:tr w:rsidR="00375140" w14:paraId="533D40A5" w14:textId="77777777">
              <w:trPr>
                <w:trHeight w:hRule="exact" w:val="2880"/>
              </w:trPr>
              <w:tc>
                <w:tcPr>
                  <w:tcW w:w="5000" w:type="pct"/>
                  <w:vAlign w:val="bottom"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0"/>
                    <w:gridCol w:w="270"/>
                    <w:gridCol w:w="2353"/>
                  </w:tblGrid>
                  <w:tr w:rsidR="00375140" w14:paraId="10B70E0D" w14:textId="77777777">
                    <w:tc>
                      <w:tcPr>
                        <w:tcW w:w="1582" w:type="pct"/>
                        <w:vAlign w:val="center"/>
                      </w:tcPr>
                      <w:p w14:paraId="7A8EE7D3" w14:textId="364F22D8" w:rsidR="00375140" w:rsidRDefault="00BB7431">
                        <w:pPr>
                          <w:pStyle w:val="NoSpacing"/>
                        </w:pPr>
                        <w:bookmarkStart w:id="0" w:name="_Hlk488923863"/>
                        <w:r>
                          <w:rPr>
                            <w:noProof/>
                            <w:lang w:eastAsia="en-US"/>
                          </w:rPr>
                          <w:drawing>
                            <wp:inline distT="0" distB="0" distL="0" distR="0" wp14:anchorId="325AEF7C" wp14:editId="1E179DA0">
                              <wp:extent cx="774700" cy="774700"/>
                              <wp:effectExtent l="0" t="0" r="6350" b="6350"/>
                              <wp:docPr id="1" name="Picture 1" descr="Logo, company name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1" descr="Logo, company name&#10;&#10;Description automatically generated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74700" cy="774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50" w:type="pct"/>
                      </w:tcPr>
                      <w:p w14:paraId="57608FC6" w14:textId="69E52DF4" w:rsidR="00375140" w:rsidRDefault="00375140"/>
                    </w:tc>
                    <w:tc>
                      <w:tcPr>
                        <w:tcW w:w="3050" w:type="pct"/>
                      </w:tcPr>
                      <w:sdt>
                        <w:sdtPr>
                          <w:rPr>
                            <w:color w:val="7030A0"/>
                          </w:rPr>
                          <w:alias w:val="Company"/>
                          <w:tag w:val=""/>
                          <w:id w:val="-108818510"/>
                          <w:placeholder>
                            <w:docPart w:val="763DBC14C55D4901801B17BE3724FBFE"/>
                          </w:placeholder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p w14:paraId="2E787E2A" w14:textId="77777777" w:rsidR="00375140" w:rsidRPr="002611E2" w:rsidRDefault="00870B27">
                            <w:pPr>
                              <w:pStyle w:val="Company"/>
                              <w:rPr>
                                <w:color w:val="7030A0"/>
                              </w:rPr>
                            </w:pPr>
                            <w:r w:rsidRPr="002611E2">
                              <w:rPr>
                                <w:color w:val="7030A0"/>
                              </w:rPr>
                              <w:t>RAISING A STANDARD, INC.</w:t>
                            </w:r>
                          </w:p>
                        </w:sdtContent>
                      </w:sdt>
                      <w:p w14:paraId="5F8CE5ED" w14:textId="7A9CFF20" w:rsidR="00375140" w:rsidRPr="002611E2" w:rsidRDefault="004A222A">
                        <w:pPr>
                          <w:pStyle w:val="Footer"/>
                          <w:rPr>
                            <w:color w:val="7030A0"/>
                          </w:rPr>
                        </w:pPr>
                        <w:r w:rsidRPr="002611E2">
                          <w:rPr>
                            <w:color w:val="7030A0"/>
                          </w:rPr>
                          <w:t>Post Office Box 360623</w:t>
                        </w:r>
                      </w:p>
                      <w:p w14:paraId="3B5D98AE" w14:textId="77777777" w:rsidR="00375140" w:rsidRPr="002611E2" w:rsidRDefault="004A222A">
                        <w:pPr>
                          <w:pStyle w:val="Footer"/>
                          <w:rPr>
                            <w:color w:val="7030A0"/>
                          </w:rPr>
                        </w:pPr>
                        <w:r w:rsidRPr="002611E2">
                          <w:rPr>
                            <w:color w:val="7030A0"/>
                          </w:rPr>
                          <w:t>Decatur, Georgia 30036</w:t>
                        </w:r>
                      </w:p>
                    </w:tc>
                  </w:tr>
                </w:tbl>
                <w:bookmarkEnd w:id="0"/>
                <w:p w14:paraId="59A2BD19" w14:textId="14F88BCB" w:rsidR="00375140" w:rsidRDefault="00BB7431">
                  <w:r>
                    <w:rPr>
                      <w:noProof/>
                      <w:lang w:eastAsia="en-US"/>
                    </w:rPr>
                    <w:drawing>
                      <wp:anchor distT="0" distB="0" distL="114300" distR="114300" simplePos="0" relativeHeight="251660288" behindDoc="1" locked="0" layoutInCell="1" allowOverlap="1" wp14:anchorId="5EC3501F" wp14:editId="5AD85917">
                        <wp:simplePos x="0" y="0"/>
                        <wp:positionH relativeFrom="column">
                          <wp:posOffset>527685</wp:posOffset>
                        </wp:positionH>
                        <wp:positionV relativeFrom="paragraph">
                          <wp:posOffset>-1075055</wp:posOffset>
                        </wp:positionV>
                        <wp:extent cx="224155" cy="213995"/>
                        <wp:effectExtent l="0" t="0" r="4445" b="0"/>
                        <wp:wrapNone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lgi01a201310101000[1]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155" cy="2139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6FE5EE9A" w14:textId="77777777" w:rsidR="00375140" w:rsidRDefault="00375140"/>
        </w:tc>
        <w:tc>
          <w:tcPr>
            <w:tcW w:w="720" w:type="dxa"/>
          </w:tcPr>
          <w:p w14:paraId="62FF8307" w14:textId="77777777" w:rsidR="00375140" w:rsidRDefault="00375140"/>
        </w:tc>
        <w:tc>
          <w:tcPr>
            <w:tcW w:w="720" w:type="dxa"/>
          </w:tcPr>
          <w:p w14:paraId="7F5291C2" w14:textId="77777777" w:rsidR="00375140" w:rsidRDefault="00375140"/>
        </w:tc>
        <w:tc>
          <w:tcPr>
            <w:tcW w:w="3851" w:type="dxa"/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851"/>
            </w:tblGrid>
            <w:tr w:rsidR="00375140" w14:paraId="359F3569" w14:textId="77777777">
              <w:trPr>
                <w:trHeight w:hRule="exact" w:val="5760"/>
              </w:trPr>
              <w:tc>
                <w:tcPr>
                  <w:tcW w:w="5000" w:type="pct"/>
                </w:tcPr>
                <w:p w14:paraId="1DAEC719" w14:textId="77777777" w:rsidR="00375140" w:rsidRDefault="00F81EDB"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52B569DC" wp14:editId="14AAEE12">
                        <wp:extent cx="2445385" cy="3838575"/>
                        <wp:effectExtent l="0" t="0" r="0" b="9525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raise[1]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45385" cy="3838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518DB3A" w14:textId="77777777" w:rsidR="00375140" w:rsidRDefault="004A222A">
                  <w:r>
                    <w:rPr>
                      <w:noProof/>
                      <w:lang w:eastAsia="en-US"/>
                    </w:rPr>
                    <w:drawing>
                      <wp:anchor distT="0" distB="0" distL="114300" distR="114300" simplePos="0" relativeHeight="251659264" behindDoc="0" locked="0" layoutInCell="1" allowOverlap="1" wp14:anchorId="7C7BF783" wp14:editId="3AD347AA">
                        <wp:simplePos x="0" y="0"/>
                        <wp:positionH relativeFrom="column">
                          <wp:posOffset>892810</wp:posOffset>
                        </wp:positionH>
                        <wp:positionV relativeFrom="paragraph">
                          <wp:posOffset>1133475</wp:posOffset>
                        </wp:positionV>
                        <wp:extent cx="525145" cy="560705"/>
                        <wp:effectExtent l="0" t="0" r="8255" b="0"/>
                        <wp:wrapNone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flying-dove[1].pn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5145" cy="5607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375140" w14:paraId="5EA9B7B0" w14:textId="77777777">
              <w:trPr>
                <w:trHeight w:hRule="exact" w:val="360"/>
              </w:trPr>
              <w:tc>
                <w:tcPr>
                  <w:tcW w:w="5000" w:type="pct"/>
                </w:tcPr>
                <w:p w14:paraId="37D0C1DB" w14:textId="77777777" w:rsidR="00375140" w:rsidRDefault="00375140"/>
              </w:tc>
            </w:tr>
            <w:tr w:rsidR="00FF04D8" w14:paraId="74D9F557" w14:textId="77777777">
              <w:trPr>
                <w:trHeight w:hRule="exact" w:val="360"/>
              </w:trPr>
              <w:tc>
                <w:tcPr>
                  <w:tcW w:w="5000" w:type="pct"/>
                </w:tcPr>
                <w:p w14:paraId="2FF8BF91" w14:textId="77777777" w:rsidR="00FF04D8" w:rsidRDefault="00FF04D8"/>
              </w:tc>
            </w:tr>
            <w:tr w:rsidR="00FF04D8" w14:paraId="423658C3" w14:textId="77777777">
              <w:trPr>
                <w:trHeight w:hRule="exact" w:val="360"/>
              </w:trPr>
              <w:tc>
                <w:tcPr>
                  <w:tcW w:w="5000" w:type="pct"/>
                </w:tcPr>
                <w:p w14:paraId="68A5F860" w14:textId="77777777" w:rsidR="00FF04D8" w:rsidRDefault="00FF04D8"/>
              </w:tc>
            </w:tr>
            <w:tr w:rsidR="00375140" w14:paraId="796B81A6" w14:textId="77777777">
              <w:trPr>
                <w:trHeight w:hRule="exact" w:val="3240"/>
              </w:trPr>
              <w:bookmarkStart w:id="1" w:name="_Hlk488922578" w:displacedByCustomXml="next"/>
              <w:sdt>
                <w:sdtPr>
                  <w:rPr>
                    <w:sz w:val="52"/>
                    <w:szCs w:val="52"/>
                  </w:rPr>
                  <w:alias w:val="Company"/>
                  <w:tag w:val=""/>
                  <w:id w:val="1274751255"/>
                  <w:placeholder>
                    <w:docPart w:val="763DBC14C55D4901801B17BE3724FBFE"/>
                  </w:placeholder>
                  <w:dataBinding w:prefixMappings="xmlns:ns0='http://schemas.openxmlformats.org/officeDocument/2006/extended-properties' " w:xpath="/ns0:Properties[1]/ns0:Company[1]" w:storeItemID="{6668398D-A668-4E3E-A5EB-62B293D839F1}"/>
                  <w:text/>
                </w:sdtPr>
                <w:sdtEndPr/>
                <w:sdtContent>
                  <w:tc>
                    <w:tcPr>
                      <w:tcW w:w="5000" w:type="pct"/>
                      <w:shd w:val="clear" w:color="auto" w:fill="C45238" w:themeFill="accent1"/>
                    </w:tcPr>
                    <w:p w14:paraId="39F7FB2B" w14:textId="77777777" w:rsidR="00375140" w:rsidRDefault="00870B27" w:rsidP="0090164C">
                      <w:pPr>
                        <w:pStyle w:val="Title"/>
                      </w:pPr>
                      <w:r>
                        <w:rPr>
                          <w:sz w:val="52"/>
                          <w:szCs w:val="52"/>
                        </w:rPr>
                        <w:t>RAISING A STANDARD, INC.</w:t>
                      </w:r>
                    </w:p>
                  </w:tc>
                </w:sdtContent>
              </w:sdt>
              <w:bookmarkEnd w:id="1" w:displacedByCustomXml="prev"/>
            </w:tr>
            <w:tr w:rsidR="00375140" w14:paraId="0B12872E" w14:textId="77777777">
              <w:trPr>
                <w:trHeight w:hRule="exact" w:val="1440"/>
              </w:trPr>
              <w:tc>
                <w:tcPr>
                  <w:tcW w:w="5000" w:type="pct"/>
                  <w:shd w:val="clear" w:color="auto" w:fill="C45238" w:themeFill="accent1"/>
                  <w:vAlign w:val="bottom"/>
                </w:tcPr>
                <w:p w14:paraId="2C59C620" w14:textId="77777777" w:rsidR="00375140" w:rsidRDefault="004A222A" w:rsidP="004A222A">
                  <w:pPr>
                    <w:pStyle w:val="Subtitle"/>
                  </w:pPr>
                  <w:r>
                    <w:rPr>
                      <w:noProof/>
                      <w:lang w:eastAsia="en-US"/>
                    </w:rPr>
                    <w:drawing>
                      <wp:anchor distT="0" distB="0" distL="114300" distR="114300" simplePos="0" relativeHeight="251658240" behindDoc="0" locked="0" layoutInCell="1" allowOverlap="1" wp14:anchorId="56710DF6" wp14:editId="4A3181F7">
                        <wp:simplePos x="0" y="0"/>
                        <wp:positionH relativeFrom="column">
                          <wp:posOffset>76200</wp:posOffset>
                        </wp:positionH>
                        <wp:positionV relativeFrom="paragraph">
                          <wp:posOffset>-1061720</wp:posOffset>
                        </wp:positionV>
                        <wp:extent cx="2304415" cy="809625"/>
                        <wp:effectExtent l="0" t="0" r="635" b="9525"/>
                        <wp:wrapNone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nspire_logo1[1].gif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04415" cy="809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bookmarkStart w:id="2" w:name="_Hlk488923408"/>
                  <w:r>
                    <w:t xml:space="preserve">Moving forward </w:t>
                  </w:r>
                  <w:r w:rsidR="001A74F8">
                    <w:t>despite</w:t>
                  </w:r>
                  <w:r>
                    <w:t xml:space="preserve"> circumstances and situations in life.</w:t>
                  </w:r>
                  <w:bookmarkEnd w:id="2"/>
                </w:p>
              </w:tc>
            </w:tr>
          </w:tbl>
          <w:p w14:paraId="60D8A31C" w14:textId="77777777" w:rsidR="00375140" w:rsidRDefault="00375140"/>
        </w:tc>
      </w:tr>
    </w:tbl>
    <w:p w14:paraId="12F0B3AC" w14:textId="77777777" w:rsidR="00375140" w:rsidRDefault="00375140">
      <w:pPr>
        <w:pStyle w:val="NoSpacing"/>
      </w:pPr>
    </w:p>
    <w:tbl>
      <w:tblPr>
        <w:tblStyle w:val="TableLayout"/>
        <w:tblW w:w="0" w:type="auto"/>
        <w:jc w:val="center"/>
        <w:tblLayout w:type="fixed"/>
        <w:tblLook w:val="04A0" w:firstRow="1" w:lastRow="0" w:firstColumn="1" w:lastColumn="0" w:noHBand="0" w:noVBand="1"/>
        <w:tblDescription w:val="Brochure layout table page 2"/>
      </w:tblPr>
      <w:tblGrid>
        <w:gridCol w:w="3840"/>
        <w:gridCol w:w="713"/>
        <w:gridCol w:w="713"/>
        <w:gridCol w:w="3843"/>
        <w:gridCol w:w="720"/>
        <w:gridCol w:w="720"/>
        <w:gridCol w:w="3851"/>
      </w:tblGrid>
      <w:tr w:rsidR="00375140" w14:paraId="140E0CE7" w14:textId="77777777">
        <w:trPr>
          <w:trHeight w:hRule="exact" w:val="10800"/>
          <w:jc w:val="center"/>
        </w:trPr>
        <w:tc>
          <w:tcPr>
            <w:tcW w:w="3840" w:type="dxa"/>
          </w:tcPr>
          <w:p w14:paraId="37299B56" w14:textId="77777777" w:rsidR="00375140" w:rsidRDefault="00B467AD">
            <w:pPr>
              <w:spacing w:after="320"/>
            </w:pPr>
            <w:r>
              <w:rPr>
                <w:noProof/>
                <w:lang w:eastAsia="en-US"/>
              </w:rPr>
              <w:drawing>
                <wp:inline distT="0" distB="0" distL="0" distR="0" wp14:anchorId="6853B446" wp14:editId="6E37CF92">
                  <wp:extent cx="1971675" cy="214241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lack-family-620x480-576x392[1]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778" cy="2172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390184" w14:textId="77777777" w:rsidR="005A66C7" w:rsidRPr="005A66C7" w:rsidRDefault="005A66C7" w:rsidP="005A66C7">
            <w:pPr>
              <w:spacing w:after="200" w:line="360" w:lineRule="auto"/>
              <w:ind w:firstLine="360"/>
              <w:rPr>
                <w:rFonts w:ascii="Calibri" w:eastAsia="Times New Roman" w:hAnsi="Calibri" w:cs="Times New Roman"/>
                <w:b/>
                <w:i/>
                <w:color w:val="C00000"/>
                <w:sz w:val="22"/>
                <w:szCs w:val="22"/>
                <w:u w:val="single"/>
                <w:lang w:eastAsia="en-US"/>
              </w:rPr>
            </w:pPr>
            <w:r w:rsidRPr="005A66C7">
              <w:rPr>
                <w:rFonts w:ascii="Calibri" w:eastAsia="Times New Roman" w:hAnsi="Calibri" w:cs="Times New Roman"/>
                <w:b/>
                <w:i/>
                <w:color w:val="C00000"/>
                <w:sz w:val="22"/>
                <w:szCs w:val="22"/>
                <w:u w:val="single"/>
                <w:lang w:eastAsia="en-US"/>
              </w:rPr>
              <w:t>RAISING A STANDARD PROPOSES:</w:t>
            </w:r>
          </w:p>
          <w:p w14:paraId="6FFC0588" w14:textId="77777777" w:rsidR="005A66C7" w:rsidRPr="005A66C7" w:rsidRDefault="005A66C7" w:rsidP="005A66C7">
            <w:pPr>
              <w:spacing w:after="200" w:line="360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  <w:r w:rsidRPr="005A66C7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  <w:t>Raising A Standard, Inc. would like to become your One Stop Shop for your Community Support Individual providing:</w:t>
            </w:r>
          </w:p>
          <w:p w14:paraId="326D37C8" w14:textId="77777777" w:rsidR="005A66C7" w:rsidRPr="006710F1" w:rsidRDefault="005A66C7" w:rsidP="005A66C7">
            <w:pPr>
              <w:numPr>
                <w:ilvl w:val="0"/>
                <w:numId w:val="7"/>
              </w:numPr>
              <w:spacing w:after="200" w:line="360" w:lineRule="auto"/>
              <w:contextualSpacing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  <w:r w:rsidRPr="006710F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  <w:t>Life Skills</w:t>
            </w:r>
          </w:p>
          <w:p w14:paraId="2301B36C" w14:textId="77777777" w:rsidR="005A66C7" w:rsidRPr="006710F1" w:rsidRDefault="005A66C7" w:rsidP="005A66C7">
            <w:pPr>
              <w:numPr>
                <w:ilvl w:val="0"/>
                <w:numId w:val="7"/>
              </w:numPr>
              <w:spacing w:after="200" w:line="360" w:lineRule="auto"/>
              <w:contextualSpacing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  <w:r w:rsidRPr="006710F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  <w:t>Paraprofessional Services</w:t>
            </w:r>
          </w:p>
          <w:p w14:paraId="134CFFD1" w14:textId="77777777" w:rsidR="005A66C7" w:rsidRPr="006710F1" w:rsidRDefault="006710F1" w:rsidP="005A66C7">
            <w:pPr>
              <w:numPr>
                <w:ilvl w:val="0"/>
                <w:numId w:val="7"/>
              </w:numPr>
              <w:spacing w:after="200" w:line="360" w:lineRule="auto"/>
              <w:contextualSpacing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  <w:r w:rsidRPr="006710F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  <w:t>Personal/</w:t>
            </w:r>
            <w:r w:rsidR="005A66C7" w:rsidRPr="006710F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  <w:t>Social Skills</w:t>
            </w:r>
          </w:p>
          <w:p w14:paraId="0BFEB6A4" w14:textId="77777777" w:rsidR="005A66C7" w:rsidRPr="006710F1" w:rsidRDefault="005A66C7" w:rsidP="005A66C7">
            <w:pPr>
              <w:numPr>
                <w:ilvl w:val="0"/>
                <w:numId w:val="7"/>
              </w:numPr>
              <w:spacing w:after="200" w:line="360" w:lineRule="auto"/>
              <w:contextualSpacing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  <w:r w:rsidRPr="006710F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  <w:t>Parent Aide Services</w:t>
            </w:r>
          </w:p>
          <w:p w14:paraId="45B17085" w14:textId="77777777" w:rsidR="005A66C7" w:rsidRPr="006710F1" w:rsidRDefault="005A66C7" w:rsidP="005A66C7">
            <w:pPr>
              <w:numPr>
                <w:ilvl w:val="0"/>
                <w:numId w:val="7"/>
              </w:numPr>
              <w:spacing w:after="200" w:line="360" w:lineRule="auto"/>
              <w:contextualSpacing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  <w:r w:rsidRPr="006710F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  <w:t>Home Visits</w:t>
            </w:r>
          </w:p>
          <w:p w14:paraId="433667F9" w14:textId="77777777" w:rsidR="005A66C7" w:rsidRPr="006710F1" w:rsidRDefault="005A66C7" w:rsidP="005A66C7">
            <w:pPr>
              <w:numPr>
                <w:ilvl w:val="0"/>
                <w:numId w:val="7"/>
              </w:numPr>
              <w:spacing w:after="200" w:line="360" w:lineRule="auto"/>
              <w:contextualSpacing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  <w:r w:rsidRPr="006710F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  <w:t>Case Management</w:t>
            </w:r>
          </w:p>
          <w:p w14:paraId="193F8424" w14:textId="77777777" w:rsidR="005A66C7" w:rsidRPr="006710F1" w:rsidRDefault="005A66C7" w:rsidP="005A66C7">
            <w:pPr>
              <w:numPr>
                <w:ilvl w:val="0"/>
                <w:numId w:val="7"/>
              </w:numPr>
              <w:spacing w:after="200" w:line="360" w:lineRule="auto"/>
              <w:contextualSpacing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  <w:r w:rsidRPr="006710F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  <w:t>Workshops</w:t>
            </w:r>
          </w:p>
          <w:p w14:paraId="34BD13E6" w14:textId="77777777" w:rsidR="006710F1" w:rsidRPr="006710F1" w:rsidRDefault="006710F1" w:rsidP="005A66C7">
            <w:pPr>
              <w:numPr>
                <w:ilvl w:val="0"/>
                <w:numId w:val="7"/>
              </w:numPr>
              <w:spacing w:after="200" w:line="360" w:lineRule="auto"/>
              <w:contextualSpacing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  <w:r w:rsidRPr="006710F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  <w:t>Supported Employment</w:t>
            </w:r>
          </w:p>
          <w:p w14:paraId="54B12895" w14:textId="77777777" w:rsidR="006710F1" w:rsidRPr="006710F1" w:rsidRDefault="006710F1" w:rsidP="005A66C7">
            <w:pPr>
              <w:numPr>
                <w:ilvl w:val="0"/>
                <w:numId w:val="7"/>
              </w:numPr>
              <w:spacing w:after="200" w:line="360" w:lineRule="auto"/>
              <w:contextualSpacing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  <w:r w:rsidRPr="006710F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  <w:t>Work Readiness</w:t>
            </w:r>
          </w:p>
          <w:p w14:paraId="2B6EC7A7" w14:textId="77777777" w:rsidR="006710F1" w:rsidRPr="006710F1" w:rsidRDefault="006710F1" w:rsidP="005A66C7">
            <w:pPr>
              <w:numPr>
                <w:ilvl w:val="0"/>
                <w:numId w:val="7"/>
              </w:numPr>
              <w:spacing w:after="200" w:line="360" w:lineRule="auto"/>
              <w:contextualSpacing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  <w:r w:rsidRPr="006710F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  <w:t>Comprehensive Vocational Evaluations</w:t>
            </w:r>
          </w:p>
          <w:p w14:paraId="53EE1E3E" w14:textId="77777777" w:rsidR="00375140" w:rsidRDefault="00375140"/>
        </w:tc>
        <w:tc>
          <w:tcPr>
            <w:tcW w:w="713" w:type="dxa"/>
          </w:tcPr>
          <w:p w14:paraId="710B22C9" w14:textId="77777777" w:rsidR="00375140" w:rsidRDefault="00375140"/>
        </w:tc>
        <w:tc>
          <w:tcPr>
            <w:tcW w:w="713" w:type="dxa"/>
          </w:tcPr>
          <w:p w14:paraId="5342794C" w14:textId="77777777" w:rsidR="00375140" w:rsidRDefault="00375140"/>
          <w:p w14:paraId="38343140" w14:textId="77777777" w:rsidR="001131F5" w:rsidRDefault="001131F5"/>
          <w:p w14:paraId="09E60CE9" w14:textId="77777777" w:rsidR="00701F87" w:rsidRPr="00701F87" w:rsidRDefault="00701F87" w:rsidP="00701F87">
            <w:r w:rsidRPr="00701F87">
              <w:t xml:space="preserve">Job Coaching: </w:t>
            </w:r>
          </w:p>
          <w:p w14:paraId="45523985" w14:textId="77777777" w:rsidR="001131F5" w:rsidRDefault="001131F5"/>
        </w:tc>
        <w:tc>
          <w:tcPr>
            <w:tcW w:w="3843" w:type="dxa"/>
          </w:tcPr>
          <w:p w14:paraId="7E7571EA" w14:textId="77777777" w:rsidR="00E42277" w:rsidRPr="00A3366E" w:rsidRDefault="00E42277" w:rsidP="00E42277">
            <w:pPr>
              <w:pStyle w:val="Heading2"/>
              <w:spacing w:before="200"/>
              <w:rPr>
                <w:color w:val="FF0000"/>
              </w:rPr>
            </w:pPr>
            <w:r w:rsidRPr="00A3366E">
              <w:rPr>
                <w:color w:val="FF0000"/>
                <w:highlight w:val="yellow"/>
              </w:rPr>
              <w:t>RISING ABOVE ALL SITUATIONS AND CIRCUMSTANCES IN LIFE</w:t>
            </w:r>
            <w:r w:rsidRPr="00A3366E">
              <w:rPr>
                <w:color w:val="FF0000"/>
              </w:rPr>
              <w:t xml:space="preserve"> </w:t>
            </w:r>
          </w:p>
          <w:p w14:paraId="7AA00C99" w14:textId="77777777" w:rsidR="00375140" w:rsidRDefault="00E42277">
            <w:r>
              <w:t>Raising A Standard, Inc. believes in developing the whole person.  We are your One Stop Shop to overcoming</w:t>
            </w:r>
            <w:r w:rsidR="00A3366E">
              <w:t xml:space="preserve"> your circumstances and situations in life one step at a time.</w:t>
            </w:r>
          </w:p>
          <w:p w14:paraId="69104DAE" w14:textId="77777777" w:rsidR="00430487" w:rsidRDefault="0014264A">
            <w:pPr>
              <w:pStyle w:val="Heading2"/>
              <w:rPr>
                <w:i/>
                <w:color w:val="7030A0"/>
                <w:u w:val="single"/>
              </w:rPr>
            </w:pPr>
            <w:r w:rsidRPr="001131F5">
              <w:rPr>
                <w:rFonts w:ascii="Bradley Hand ITC" w:hAnsi="Bradley Hand ITC" w:cs="Arial"/>
                <w:b w:val="0"/>
                <w:i/>
                <w:color w:val="4B2D45" w:themeColor="accent5" w:themeShade="BF"/>
                <w:sz w:val="24"/>
                <w:szCs w:val="24"/>
              </w:rPr>
              <w:t>You may write me down in history</w:t>
            </w:r>
            <w:r w:rsidRPr="001131F5">
              <w:rPr>
                <w:rFonts w:ascii="Bradley Hand ITC" w:hAnsi="Bradley Hand ITC" w:cs="Arial"/>
                <w:b w:val="0"/>
                <w:i/>
                <w:color w:val="4B2D45" w:themeColor="accent5" w:themeShade="BF"/>
                <w:sz w:val="24"/>
                <w:szCs w:val="24"/>
              </w:rPr>
              <w:br/>
              <w:t>With your bitter, twisted lies,</w:t>
            </w:r>
            <w:r w:rsidRPr="001131F5">
              <w:rPr>
                <w:rFonts w:ascii="Bradley Hand ITC" w:hAnsi="Bradley Hand ITC" w:cs="Arial"/>
                <w:b w:val="0"/>
                <w:i/>
                <w:color w:val="4B2D45" w:themeColor="accent5" w:themeShade="BF"/>
                <w:sz w:val="24"/>
                <w:szCs w:val="24"/>
              </w:rPr>
              <w:br/>
              <w:t>You may tread me in the very dirt</w:t>
            </w:r>
            <w:r w:rsidRPr="001131F5">
              <w:rPr>
                <w:rFonts w:ascii="Bradley Hand ITC" w:hAnsi="Bradley Hand ITC" w:cs="Arial"/>
                <w:b w:val="0"/>
                <w:i/>
                <w:color w:val="4B2D45" w:themeColor="accent5" w:themeShade="BF"/>
                <w:sz w:val="24"/>
                <w:szCs w:val="24"/>
              </w:rPr>
              <w:br/>
              <w:t>But still, like dust, I'll rise.</w:t>
            </w:r>
            <w:r w:rsidRPr="001131F5">
              <w:rPr>
                <w:rFonts w:ascii="Bradley Hand ITC" w:hAnsi="Bradley Hand ITC" w:cs="Arial"/>
                <w:b w:val="0"/>
                <w:i/>
                <w:color w:val="4B2D45" w:themeColor="accent5" w:themeShade="BF"/>
                <w:sz w:val="24"/>
                <w:szCs w:val="24"/>
              </w:rPr>
              <w:br/>
            </w:r>
            <w:r w:rsidR="001131F5">
              <w:rPr>
                <w:rFonts w:ascii="Arial" w:hAnsi="Arial" w:cs="Arial"/>
                <w:color w:val="333333"/>
                <w:sz w:val="26"/>
                <w:szCs w:val="26"/>
              </w:rPr>
              <w:t xml:space="preserve">                                      </w:t>
            </w:r>
            <w:r w:rsidR="001131F5" w:rsidRPr="001131F5">
              <w:rPr>
                <w:rFonts w:ascii="Arial" w:hAnsi="Arial" w:cs="Arial"/>
                <w:color w:val="333333"/>
                <w:sz w:val="16"/>
                <w:szCs w:val="16"/>
              </w:rPr>
              <w:t>Maya Angelou</w:t>
            </w:r>
            <w:r w:rsidRPr="001131F5">
              <w:rPr>
                <w:rFonts w:ascii="Arial" w:hAnsi="Arial" w:cs="Arial"/>
                <w:color w:val="333333"/>
                <w:sz w:val="16"/>
                <w:szCs w:val="16"/>
              </w:rPr>
              <w:br/>
            </w:r>
          </w:p>
          <w:p w14:paraId="3180EF0B" w14:textId="77777777" w:rsidR="00375140" w:rsidRPr="00EA2F8A" w:rsidRDefault="0020278F">
            <w:pPr>
              <w:pStyle w:val="Heading2"/>
              <w:rPr>
                <w:i/>
                <w:color w:val="7030A0"/>
                <w:u w:val="single"/>
              </w:rPr>
            </w:pPr>
            <w:r w:rsidRPr="00EA2F8A">
              <w:rPr>
                <w:i/>
                <w:color w:val="7030A0"/>
                <w:u w:val="single"/>
              </w:rPr>
              <w:t>Raising A Standard Services:</w:t>
            </w:r>
          </w:p>
          <w:p w14:paraId="14AFE3F7" w14:textId="13EEB8E8" w:rsidR="00B77612" w:rsidRPr="00AD397A" w:rsidRDefault="00B77612" w:rsidP="00EA2F8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color w:val="7030A0"/>
                <w:u w:val="single"/>
              </w:rPr>
            </w:pPr>
            <w:r w:rsidRPr="00AD397A">
              <w:rPr>
                <w:b/>
                <w:bCs/>
                <w:i/>
                <w:iCs/>
                <w:color w:val="7030A0"/>
                <w:u w:val="single"/>
              </w:rPr>
              <w:t xml:space="preserve">JOB Program (Jump </w:t>
            </w:r>
            <w:r w:rsidR="00426C74" w:rsidRPr="00AD397A">
              <w:rPr>
                <w:b/>
                <w:bCs/>
                <w:i/>
                <w:iCs/>
                <w:color w:val="7030A0"/>
                <w:u w:val="single"/>
              </w:rPr>
              <w:t>on</w:t>
            </w:r>
            <w:r w:rsidRPr="00AD397A">
              <w:rPr>
                <w:b/>
                <w:bCs/>
                <w:i/>
                <w:iCs/>
                <w:color w:val="7030A0"/>
                <w:u w:val="single"/>
              </w:rPr>
              <w:t xml:space="preserve"> Board): </w:t>
            </w:r>
          </w:p>
          <w:p w14:paraId="7187F7B0" w14:textId="324389BE" w:rsidR="00B77612" w:rsidRDefault="00B77612" w:rsidP="00EA2F8A">
            <w:pPr>
              <w:autoSpaceDE w:val="0"/>
              <w:autoSpaceDN w:val="0"/>
              <w:adjustRightInd w:val="0"/>
              <w:spacing w:after="0" w:line="240" w:lineRule="auto"/>
            </w:pPr>
            <w:r w:rsidRPr="00B77612">
              <w:rPr>
                <w:sz w:val="14"/>
                <w:szCs w:val="14"/>
              </w:rPr>
              <w:t xml:space="preserve">Supported Employment Program. This is our Competitive Work program for persons with significant disabilities that </w:t>
            </w:r>
            <w:r w:rsidR="00426C74" w:rsidRPr="00B77612">
              <w:rPr>
                <w:sz w:val="14"/>
                <w:szCs w:val="14"/>
              </w:rPr>
              <w:t>have not</w:t>
            </w:r>
            <w:r w:rsidRPr="00B77612">
              <w:rPr>
                <w:sz w:val="14"/>
                <w:szCs w:val="14"/>
              </w:rPr>
              <w:t xml:space="preserve"> experienced competitive employment or employment was disrupted due to a disability</w:t>
            </w:r>
          </w:p>
          <w:p w14:paraId="548E06F3" w14:textId="77777777" w:rsidR="00B77612" w:rsidRPr="00AD397A" w:rsidRDefault="00B77612" w:rsidP="00EA2F8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color w:val="00B050"/>
                <w:u w:val="single"/>
              </w:rPr>
            </w:pPr>
            <w:r w:rsidRPr="00AD397A">
              <w:rPr>
                <w:b/>
                <w:bCs/>
                <w:i/>
                <w:iCs/>
                <w:color w:val="00B050"/>
                <w:u w:val="single"/>
              </w:rPr>
              <w:t>CVE Program:</w:t>
            </w:r>
          </w:p>
          <w:p w14:paraId="427EEF02" w14:textId="77777777" w:rsidR="00701F87" w:rsidRDefault="00B77612" w:rsidP="00EA2F8A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 w:rsidRPr="00B77612">
              <w:rPr>
                <w:sz w:val="14"/>
                <w:szCs w:val="14"/>
              </w:rPr>
              <w:t>Comprehensive vocational evaluation sets an objective base that develops an individualized vocational plan. The assessment identifies motivators (interests and personality factors), aptitudes and achievements (readiness to work</w:t>
            </w:r>
          </w:p>
          <w:p w14:paraId="355BA0F3" w14:textId="2706D1F4" w:rsidR="00701F87" w:rsidRDefault="00701F87" w:rsidP="00701F8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color w:val="E9A778" w:themeColor="accent6" w:themeTint="99"/>
                <w:u w:val="single"/>
              </w:rPr>
            </w:pPr>
            <w:r w:rsidRPr="00AD397A">
              <w:rPr>
                <w:b/>
                <w:bCs/>
                <w:i/>
                <w:iCs/>
                <w:color w:val="E9A778" w:themeColor="accent6" w:themeTint="99"/>
                <w:u w:val="single"/>
              </w:rPr>
              <w:t>Work Evaluations:</w:t>
            </w:r>
          </w:p>
          <w:p w14:paraId="3646590A" w14:textId="31EE6772" w:rsidR="00426C74" w:rsidRPr="00426C74" w:rsidRDefault="00AD397A" w:rsidP="00701F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4"/>
                <w:szCs w:val="14"/>
              </w:rPr>
            </w:pPr>
            <w:r w:rsidRPr="00426C74">
              <w:rPr>
                <w:color w:val="000000" w:themeColor="text1"/>
                <w:sz w:val="14"/>
                <w:szCs w:val="14"/>
              </w:rPr>
              <w:t>Short term assessment that takes up to 30</w:t>
            </w:r>
            <w:r w:rsidR="00426C74">
              <w:rPr>
                <w:color w:val="000000" w:themeColor="text1"/>
                <w:sz w:val="14"/>
                <w:szCs w:val="14"/>
              </w:rPr>
              <w:t xml:space="preserve"> </w:t>
            </w:r>
            <w:r w:rsidR="00426C74" w:rsidRPr="00426C74">
              <w:rPr>
                <w:color w:val="000000" w:themeColor="text1"/>
                <w:sz w:val="14"/>
                <w:szCs w:val="14"/>
              </w:rPr>
              <w:t>days.</w:t>
            </w:r>
            <w:r w:rsidRPr="00426C74">
              <w:rPr>
                <w:color w:val="000000" w:themeColor="text1"/>
                <w:sz w:val="14"/>
                <w:szCs w:val="14"/>
              </w:rPr>
              <w:t xml:space="preserve"> </w:t>
            </w:r>
          </w:p>
          <w:p w14:paraId="4BB14A97" w14:textId="6814E652" w:rsidR="00AD397A" w:rsidRPr="00701F87" w:rsidRDefault="00AD397A" w:rsidP="00701F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4"/>
                <w:szCs w:val="14"/>
              </w:rPr>
            </w:pPr>
            <w:r w:rsidRPr="00426C74">
              <w:rPr>
                <w:color w:val="000000" w:themeColor="text1"/>
                <w:sz w:val="14"/>
                <w:szCs w:val="14"/>
              </w:rPr>
              <w:t xml:space="preserve">Observing work behaviors, physical capacities, </w:t>
            </w:r>
            <w:r w:rsidR="00426C74" w:rsidRPr="00426C74">
              <w:rPr>
                <w:color w:val="000000" w:themeColor="text1"/>
                <w:sz w:val="14"/>
                <w:szCs w:val="14"/>
              </w:rPr>
              <w:t>work habits, interpersonal and functioning skills</w:t>
            </w:r>
          </w:p>
          <w:p w14:paraId="2A71B7CD" w14:textId="6DB6BE99" w:rsidR="00EA2F8A" w:rsidRDefault="00426C74" w:rsidP="00EA2F8A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 w:rsidRPr="00AD397A">
              <w:rPr>
                <w:b/>
                <w:bCs/>
                <w:i/>
                <w:iCs/>
                <w:color w:val="C00000"/>
                <w:u w:val="single"/>
              </w:rPr>
              <w:t>CWAT (</w:t>
            </w:r>
            <w:r w:rsidR="00B77612" w:rsidRPr="00AD397A">
              <w:rPr>
                <w:b/>
                <w:bCs/>
                <w:i/>
                <w:iCs/>
                <w:color w:val="C00000"/>
                <w:u w:val="single"/>
              </w:rPr>
              <w:t xml:space="preserve">Community </w:t>
            </w:r>
            <w:r w:rsidR="00B77612" w:rsidRPr="00AD397A">
              <w:rPr>
                <w:b/>
                <w:bCs/>
                <w:i/>
                <w:iCs/>
                <w:color w:val="C00000"/>
                <w:u w:val="single"/>
              </w:rPr>
              <w:t xml:space="preserve">Based </w:t>
            </w:r>
            <w:r w:rsidR="00B77612" w:rsidRPr="00AD397A">
              <w:rPr>
                <w:b/>
                <w:bCs/>
                <w:i/>
                <w:iCs/>
                <w:color w:val="C00000"/>
                <w:u w:val="single"/>
              </w:rPr>
              <w:t>Work Adjustment):</w:t>
            </w:r>
            <w:r w:rsidR="00B77612" w:rsidRPr="00B77612">
              <w:rPr>
                <w:color w:val="C00000"/>
              </w:rPr>
              <w:t xml:space="preserve"> </w:t>
            </w:r>
            <w:r w:rsidR="00B77612" w:rsidRPr="00B77612">
              <w:rPr>
                <w:sz w:val="14"/>
                <w:szCs w:val="14"/>
              </w:rPr>
              <w:t xml:space="preserve">This is a </w:t>
            </w:r>
            <w:r w:rsidRPr="00B77612">
              <w:rPr>
                <w:sz w:val="14"/>
                <w:szCs w:val="14"/>
              </w:rPr>
              <w:t>twelve-week</w:t>
            </w:r>
            <w:r w:rsidR="00B77612" w:rsidRPr="00B77612">
              <w:rPr>
                <w:sz w:val="14"/>
                <w:szCs w:val="14"/>
              </w:rPr>
              <w:t xml:space="preserve"> comprehensive time-limited program that will assist in developing or reestablish </w:t>
            </w:r>
            <w:r w:rsidR="00AD397A">
              <w:rPr>
                <w:sz w:val="14"/>
                <w:szCs w:val="14"/>
              </w:rPr>
              <w:t>work habits</w:t>
            </w:r>
            <w:r>
              <w:rPr>
                <w:sz w:val="14"/>
                <w:szCs w:val="14"/>
              </w:rPr>
              <w:t xml:space="preserve"> </w:t>
            </w:r>
            <w:r w:rsidR="00AD397A">
              <w:rPr>
                <w:sz w:val="14"/>
                <w:szCs w:val="14"/>
              </w:rPr>
              <w:t>and behaviors</w:t>
            </w:r>
            <w:r w:rsidR="00B77612" w:rsidRPr="00B77612">
              <w:rPr>
                <w:sz w:val="14"/>
                <w:szCs w:val="14"/>
              </w:rPr>
              <w:t>.</w:t>
            </w:r>
            <w:r w:rsidR="00AD397A">
              <w:rPr>
                <w:sz w:val="14"/>
                <w:szCs w:val="14"/>
              </w:rPr>
              <w:t xml:space="preserve"> Improve Quality and quantity of work, personal and social skills while functioning in their community with capacities and attitudes appropriate for employment.</w:t>
            </w:r>
          </w:p>
          <w:p w14:paraId="2F9FD9B8" w14:textId="77777777" w:rsidR="00B77612" w:rsidRPr="00AD397A" w:rsidRDefault="00B77612" w:rsidP="00EA2F8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u w:val="single"/>
              </w:rPr>
            </w:pPr>
            <w:r w:rsidRPr="00AD397A">
              <w:rPr>
                <w:b/>
                <w:bCs/>
                <w:i/>
                <w:iCs/>
                <w:color w:val="00B0F0"/>
                <w:u w:val="single"/>
              </w:rPr>
              <w:t>Job Coaching</w:t>
            </w:r>
            <w:r w:rsidRPr="00AD397A">
              <w:rPr>
                <w:b/>
                <w:bCs/>
                <w:i/>
                <w:iCs/>
                <w:u w:val="single"/>
              </w:rPr>
              <w:t xml:space="preserve">: </w:t>
            </w:r>
          </w:p>
          <w:p w14:paraId="248A8081" w14:textId="03E22827" w:rsidR="00B77612" w:rsidRDefault="00B77612" w:rsidP="00EA2F8A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Intensive one on one service while client is working in </w:t>
            </w:r>
            <w:r w:rsidR="00426C74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competitive integrated work setting. This includes job task analysis, job training, Behaviors in the workplace</w:t>
            </w:r>
            <w:r w:rsidR="00701F87">
              <w:rPr>
                <w:sz w:val="14"/>
                <w:szCs w:val="14"/>
              </w:rPr>
              <w:t>, natural supports, and employer relationship</w:t>
            </w:r>
          </w:p>
          <w:p w14:paraId="29AC71F3" w14:textId="77777777" w:rsidR="00701F87" w:rsidRDefault="00701F87" w:rsidP="00EA2F8A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  <w:p w14:paraId="0458317B" w14:textId="0F8EBC3E" w:rsidR="00701F87" w:rsidRPr="00AD397A" w:rsidRDefault="00426C74" w:rsidP="00701F8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color w:val="0070C0"/>
                <w:u w:val="single"/>
              </w:rPr>
            </w:pPr>
            <w:r w:rsidRPr="00AD397A">
              <w:rPr>
                <w:b/>
                <w:bCs/>
                <w:i/>
                <w:iCs/>
                <w:color w:val="0070C0"/>
                <w:u w:val="single"/>
              </w:rPr>
              <w:t>WORKPLACE</w:t>
            </w:r>
            <w:r w:rsidR="00701F87" w:rsidRPr="00AD397A">
              <w:rPr>
                <w:b/>
                <w:bCs/>
                <w:i/>
                <w:iCs/>
                <w:color w:val="0070C0"/>
                <w:u w:val="single"/>
              </w:rPr>
              <w:t xml:space="preserve"> READINESS</w:t>
            </w:r>
            <w:r w:rsidR="00701F87" w:rsidRPr="00AD397A">
              <w:rPr>
                <w:b/>
                <w:bCs/>
                <w:i/>
                <w:iCs/>
                <w:color w:val="0070C0"/>
                <w:u w:val="single"/>
              </w:rPr>
              <w:t xml:space="preserve">: </w:t>
            </w:r>
          </w:p>
          <w:p w14:paraId="739568F5" w14:textId="5B823500" w:rsidR="00701F87" w:rsidRPr="00701F87" w:rsidRDefault="00701F87" w:rsidP="00EA2F8A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Interrelated classroom setting can be in groups or individual depending on client.  Classes focus on services designed to help develop or re-establish employability skills as well as ethics, personal, social behaviors. Workplace readiness is designed to meet the needs of each person as they grow into their personal vocational goals.</w:t>
            </w:r>
          </w:p>
        </w:tc>
        <w:tc>
          <w:tcPr>
            <w:tcW w:w="720" w:type="dxa"/>
          </w:tcPr>
          <w:p w14:paraId="45E87A30" w14:textId="77777777" w:rsidR="00375140" w:rsidRDefault="00375140"/>
        </w:tc>
        <w:tc>
          <w:tcPr>
            <w:tcW w:w="720" w:type="dxa"/>
          </w:tcPr>
          <w:p w14:paraId="02A44E98" w14:textId="77777777" w:rsidR="00375140" w:rsidRDefault="00375140"/>
        </w:tc>
        <w:tc>
          <w:tcPr>
            <w:tcW w:w="3851" w:type="dxa"/>
          </w:tcPr>
          <w:p w14:paraId="7467D7CF" w14:textId="77777777" w:rsidR="00375140" w:rsidRDefault="00B467AD">
            <w:r>
              <w:rPr>
                <w:noProof/>
                <w:lang w:eastAsia="en-US"/>
              </w:rPr>
              <w:drawing>
                <wp:inline distT="0" distB="0" distL="0" distR="0" wp14:anchorId="6E2314B0" wp14:editId="52DD9F7E">
                  <wp:extent cx="2445385" cy="162877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lg-preschool-graduates-jpg[1]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5385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CF220D" w14:textId="77777777" w:rsidR="00375140" w:rsidRPr="00904E5C" w:rsidRDefault="00375140">
            <w:pPr>
              <w:pStyle w:val="Caption"/>
              <w:rPr>
                <w:u w:val="single"/>
              </w:rPr>
            </w:pPr>
          </w:p>
          <w:p w14:paraId="7B5A353F" w14:textId="77777777" w:rsidR="00A3366E" w:rsidRPr="00904E5C" w:rsidRDefault="00A3366E" w:rsidP="00A3366E">
            <w:pPr>
              <w:rPr>
                <w:color w:val="00B050"/>
                <w:sz w:val="28"/>
                <w:szCs w:val="28"/>
                <w:u w:val="single"/>
              </w:rPr>
            </w:pPr>
            <w:r w:rsidRPr="00904E5C">
              <w:rPr>
                <w:color w:val="00B050"/>
                <w:sz w:val="28"/>
                <w:szCs w:val="28"/>
                <w:highlight w:val="black"/>
                <w:u w:val="single"/>
              </w:rPr>
              <w:t>R.A.S. Purpose:</w:t>
            </w:r>
          </w:p>
          <w:p w14:paraId="4EB99AA3" w14:textId="77777777" w:rsidR="00A3366E" w:rsidRDefault="00A3366E" w:rsidP="00A3366E">
            <w:r w:rsidRPr="00A3366E">
              <w:t xml:space="preserve">To empower individuals that has endured hardships to know that they can overcome all obstacles, circumstances, and situations in life by taking the next step on their journey.  </w:t>
            </w:r>
          </w:p>
          <w:p w14:paraId="416E36A8" w14:textId="77777777" w:rsidR="0058385C" w:rsidRPr="00A3366E" w:rsidRDefault="0058385C" w:rsidP="00A3366E"/>
          <w:p w14:paraId="3C33A3E6" w14:textId="77777777" w:rsidR="00375140" w:rsidRPr="00904E5C" w:rsidRDefault="00904E5C" w:rsidP="00904E5C">
            <w:pPr>
              <w:pStyle w:val="Heading2"/>
              <w:rPr>
                <w:color w:val="321E2E" w:themeColor="accent5" w:themeShade="80"/>
                <w:u w:val="single"/>
              </w:rPr>
            </w:pPr>
            <w:r w:rsidRPr="00904E5C">
              <w:rPr>
                <w:color w:val="321E2E" w:themeColor="accent5" w:themeShade="80"/>
                <w:u w:val="single"/>
              </w:rPr>
              <w:t>Raising A Standard, Inc. Goals:</w:t>
            </w:r>
          </w:p>
          <w:p w14:paraId="2423725E" w14:textId="77777777" w:rsidR="00904E5C" w:rsidRDefault="00F37708" w:rsidP="00904E5C">
            <w:r>
              <w:t>Enhance</w:t>
            </w:r>
            <w:r w:rsidR="00904E5C">
              <w:t xml:space="preserve"> positive parenting skills</w:t>
            </w:r>
          </w:p>
          <w:p w14:paraId="7EE74262" w14:textId="77777777" w:rsidR="00904E5C" w:rsidRDefault="00904E5C" w:rsidP="00904E5C">
            <w:r>
              <w:t>Enhan</w:t>
            </w:r>
            <w:r w:rsidR="00F37708">
              <w:t>cing positive and effective communication skills</w:t>
            </w:r>
          </w:p>
          <w:p w14:paraId="08EA9953" w14:textId="77777777" w:rsidR="00904E5C" w:rsidRDefault="00904E5C" w:rsidP="00904E5C">
            <w:r>
              <w:t>Enhancing learning at home</w:t>
            </w:r>
          </w:p>
          <w:p w14:paraId="2B08B209" w14:textId="77777777" w:rsidR="00904E5C" w:rsidRDefault="00F37708" w:rsidP="00904E5C">
            <w:r>
              <w:t>Enhance Positive Parenting techniques</w:t>
            </w:r>
          </w:p>
          <w:p w14:paraId="07A2D58B" w14:textId="77777777" w:rsidR="00375140" w:rsidRDefault="00F37708" w:rsidP="00904E5C">
            <w:r>
              <w:t>Enhance positive relationships</w:t>
            </w:r>
          </w:p>
          <w:p w14:paraId="0CE6F9E9" w14:textId="77777777" w:rsidR="00F37708" w:rsidRDefault="006710F1" w:rsidP="00904E5C">
            <w:r>
              <w:t>Enhance Social S</w:t>
            </w:r>
            <w:r w:rsidR="00F37708">
              <w:t>kills/Life Skills</w:t>
            </w:r>
          </w:p>
        </w:tc>
      </w:tr>
    </w:tbl>
    <w:p w14:paraId="7A11C8AA" w14:textId="77777777" w:rsidR="00375140" w:rsidRDefault="00375140" w:rsidP="001A2D51">
      <w:pPr>
        <w:pStyle w:val="NoSpacing"/>
      </w:pPr>
    </w:p>
    <w:sectPr w:rsidR="00375140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A1242E4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" w15:restartNumberingAfterBreak="0">
    <w:nsid w:val="4B45618F"/>
    <w:multiLevelType w:val="hybridMultilevel"/>
    <w:tmpl w:val="0AD26EB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210"/>
    <w:rsid w:val="000146DC"/>
    <w:rsid w:val="000F4D0D"/>
    <w:rsid w:val="001131F5"/>
    <w:rsid w:val="0013532C"/>
    <w:rsid w:val="0014264A"/>
    <w:rsid w:val="00181077"/>
    <w:rsid w:val="001A2D51"/>
    <w:rsid w:val="001A74F8"/>
    <w:rsid w:val="0020278F"/>
    <w:rsid w:val="002611E2"/>
    <w:rsid w:val="0028791E"/>
    <w:rsid w:val="00375140"/>
    <w:rsid w:val="003E3989"/>
    <w:rsid w:val="003F7138"/>
    <w:rsid w:val="00426C74"/>
    <w:rsid w:val="00430487"/>
    <w:rsid w:val="00436842"/>
    <w:rsid w:val="004A222A"/>
    <w:rsid w:val="004E19D6"/>
    <w:rsid w:val="00563136"/>
    <w:rsid w:val="0058385C"/>
    <w:rsid w:val="005A66C7"/>
    <w:rsid w:val="005E3210"/>
    <w:rsid w:val="006710F1"/>
    <w:rsid w:val="00701F87"/>
    <w:rsid w:val="00870B27"/>
    <w:rsid w:val="008A558B"/>
    <w:rsid w:val="0090164C"/>
    <w:rsid w:val="00904E5C"/>
    <w:rsid w:val="00917CA1"/>
    <w:rsid w:val="009A7072"/>
    <w:rsid w:val="00A3366E"/>
    <w:rsid w:val="00A422E7"/>
    <w:rsid w:val="00AD397A"/>
    <w:rsid w:val="00AE7C61"/>
    <w:rsid w:val="00B01C9E"/>
    <w:rsid w:val="00B467AD"/>
    <w:rsid w:val="00B77612"/>
    <w:rsid w:val="00BB7431"/>
    <w:rsid w:val="00DE216C"/>
    <w:rsid w:val="00E42277"/>
    <w:rsid w:val="00EA2F8A"/>
    <w:rsid w:val="00EB4A91"/>
    <w:rsid w:val="00EC16C0"/>
    <w:rsid w:val="00F37708"/>
    <w:rsid w:val="00F81EDB"/>
    <w:rsid w:val="00FF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DA3BC9"/>
  <w15:chartTrackingRefBased/>
  <w15:docId w15:val="{10D54991-BAC3-499C-925C-561DF97C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D4436" w:themeColor="text2" w:themeTint="E6"/>
        <w:sz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 w:qFormat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00" w:after="0" w:line="240" w:lineRule="auto"/>
      <w:outlineLvl w:val="0"/>
    </w:pPr>
    <w:rPr>
      <w:rFonts w:asciiTheme="majorHAnsi" w:eastAsiaTheme="majorEastAsia" w:hAnsiTheme="majorHAnsi" w:cstheme="majorBidi"/>
      <w:b/>
      <w:bCs/>
      <w:color w:val="C45238" w:themeColor="accent1"/>
      <w:sz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">
    <w:name w:val="Table Layout"/>
    <w:basedOn w:val="TableNormal"/>
    <w:uiPriority w:val="99"/>
    <w:tblPr>
      <w:tblCellMar>
        <w:left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2"/>
    <w:unhideWhenUsed/>
    <w:qFormat/>
    <w:pPr>
      <w:spacing w:after="340" w:line="240" w:lineRule="auto"/>
    </w:pPr>
    <w:rPr>
      <w:i/>
      <w:iCs/>
      <w:sz w:val="14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352F25" w:themeColor="text2"/>
      <w:sz w:val="2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basedOn w:val="Normal"/>
    <w:uiPriority w:val="1"/>
    <w:unhideWhenUsed/>
    <w:qFormat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C45238" w:themeColor="accent1"/>
      <w:sz w:val="32"/>
    </w:rPr>
  </w:style>
  <w:style w:type="paragraph" w:customStyle="1" w:styleId="Company">
    <w:name w:val="Company"/>
    <w:basedOn w:val="Normal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olor w:val="C45238" w:themeColor="accent1"/>
    </w:rPr>
  </w:style>
  <w:style w:type="paragraph" w:styleId="Footer">
    <w:name w:val="footer"/>
    <w:basedOn w:val="Normal"/>
    <w:link w:val="FooterChar"/>
    <w:uiPriority w:val="2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2"/>
    <w:rPr>
      <w:rFonts w:asciiTheme="minorHAnsi" w:eastAsiaTheme="minorEastAsia" w:hAnsiTheme="minorHAnsi" w:cstheme="minorBidi"/>
      <w:sz w:val="17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320" w:after="0" w:line="240" w:lineRule="auto"/>
      <w:ind w:left="288" w:right="288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60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4"/>
    </w:rPr>
  </w:style>
  <w:style w:type="character" w:customStyle="1" w:styleId="SubtitleChar">
    <w:name w:val="Subtitle Char"/>
    <w:basedOn w:val="DefaultParagraphFont"/>
    <w:link w:val="Subtitle"/>
    <w:uiPriority w:val="1"/>
    <w:rPr>
      <w:i/>
      <w:iCs/>
      <w:color w:val="FFFFFF" w:themeColor="background1"/>
      <w:sz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1"/>
    <w:qFormat/>
    <w:pPr>
      <w:pBdr>
        <w:top w:val="single" w:sz="4" w:space="14" w:color="C45238" w:themeColor="accent1"/>
        <w:bottom w:val="single" w:sz="4" w:space="14" w:color="C45238" w:themeColor="accent1"/>
      </w:pBdr>
      <w:spacing w:before="480" w:after="480" w:line="312" w:lineRule="auto"/>
    </w:pPr>
    <w:rPr>
      <w:rFonts w:asciiTheme="majorHAnsi" w:eastAsiaTheme="majorEastAsia" w:hAnsiTheme="majorHAnsi" w:cstheme="majorBidi"/>
      <w:i/>
      <w:iCs/>
      <w:color w:val="C45238" w:themeColor="accent1"/>
      <w:sz w:val="34"/>
    </w:rPr>
  </w:style>
  <w:style w:type="character" w:customStyle="1" w:styleId="QuoteChar">
    <w:name w:val="Quote Char"/>
    <w:basedOn w:val="DefaultParagraphFont"/>
    <w:link w:val="Quote"/>
    <w:uiPriority w:val="1"/>
    <w:rPr>
      <w:rFonts w:asciiTheme="majorHAnsi" w:eastAsiaTheme="majorEastAsia" w:hAnsiTheme="majorHAnsi" w:cstheme="majorBidi"/>
      <w:i/>
      <w:iCs/>
      <w:color w:val="C45238" w:themeColor="accent1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1131F5"/>
  </w:style>
  <w:style w:type="character" w:styleId="Hyperlink">
    <w:name w:val="Hyperlink"/>
    <w:basedOn w:val="DefaultParagraphFont"/>
    <w:uiPriority w:val="99"/>
    <w:unhideWhenUsed/>
    <w:rsid w:val="001A2D51"/>
    <w:rPr>
      <w:color w:val="4D443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2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3" Type="http://schemas.openxmlformats.org/officeDocument/2006/relationships/styles" Target="styles.xml"/><Relationship Id="rId7" Type="http://schemas.openxmlformats.org/officeDocument/2006/relationships/hyperlink" Target="mailto:raisingastandard1@gmail.com" TargetMode="External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tte\AppData\Roaming\Microsoft\Templates\Brochure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63DBC14C55D4901801B17BE3724F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455BB-069B-4C4F-B5F1-EAF02186E7B8}"/>
      </w:docPartPr>
      <w:docPartBody>
        <w:p w:rsidR="00612806" w:rsidRDefault="00612806">
          <w:pPr>
            <w:pStyle w:val="763DBC14C55D4901801B17BE3724FBFE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806"/>
    <w:rsid w:val="00014A84"/>
    <w:rsid w:val="001F3712"/>
    <w:rsid w:val="003D5715"/>
    <w:rsid w:val="004223D3"/>
    <w:rsid w:val="00612806"/>
    <w:rsid w:val="007305D7"/>
    <w:rsid w:val="00763019"/>
    <w:rsid w:val="00860E98"/>
    <w:rsid w:val="00B92912"/>
    <w:rsid w:val="00C9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63DBC14C55D4901801B17BE3724FBFE">
    <w:name w:val="763DBC14C55D4901801B17BE3724FB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Small Business 2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C45238"/>
      </a:accent1>
      <a:accent2>
        <a:srgbClr val="2A6188"/>
      </a:accent2>
      <a:accent3>
        <a:srgbClr val="E7A623"/>
      </a:accent3>
      <a:accent4>
        <a:srgbClr val="5B883F"/>
      </a:accent4>
      <a:accent5>
        <a:srgbClr val="653D5D"/>
      </a:accent5>
      <a:accent6>
        <a:srgbClr val="D76F23"/>
      </a:accent6>
      <a:hlink>
        <a:srgbClr val="4D4436"/>
      </a:hlink>
      <a:folHlink>
        <a:srgbClr val="933D29"/>
      </a:folHlink>
    </a:clrScheme>
    <a:fontScheme name="Small Business 2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88B251B-11B4-44B2-932F-30F19E5150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Brochure(2)</Template>
  <TotalTime>2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RAISING A STANDARD, INC.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Josette</dc:creator>
  <cp:keywords/>
  <dc:description/>
  <cp:lastModifiedBy>R.A.S. Inc.</cp:lastModifiedBy>
  <cp:revision>2</cp:revision>
  <dcterms:created xsi:type="dcterms:W3CDTF">2020-09-27T20:36:00Z</dcterms:created>
  <dcterms:modified xsi:type="dcterms:W3CDTF">2020-09-27T20:36:00Z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TC029118989991</vt:lpwstr>
  </property>
</Properties>
</file>