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58"/>
      </w:tblGrid>
      <w:tr w:rsidR="0036238F" w14:paraId="3C67CEC1" w14:textId="77777777" w:rsidTr="00C754E3">
        <w:tblPrEx>
          <w:tblCellMar>
            <w:top w:w="0" w:type="dxa"/>
            <w:bottom w:w="0" w:type="dxa"/>
          </w:tblCellMar>
        </w:tblPrEx>
        <w:tc>
          <w:tcPr>
            <w:tcW w:w="9360" w:type="dxa"/>
            <w:tcBorders>
              <w:top w:val="single" w:sz="1" w:space="0" w:color="000000"/>
              <w:left w:val="single" w:sz="1" w:space="0" w:color="000000"/>
              <w:bottom w:val="single" w:sz="1" w:space="0" w:color="000000"/>
              <w:right w:val="single" w:sz="1" w:space="0" w:color="000000"/>
            </w:tcBorders>
            <w:shd w:val="clear" w:color="auto" w:fill="FFF2CC"/>
          </w:tcPr>
          <w:p w14:paraId="02B5E938" w14:textId="77777777" w:rsidR="0036238F" w:rsidRDefault="0036238F" w:rsidP="00C754E3">
            <w:pPr>
              <w:spacing w:before="120" w:after="120"/>
            </w:pPr>
            <w:r>
              <w:rPr>
                <w:b/>
                <w:bCs/>
                <w:sz w:val="22"/>
                <w:szCs w:val="22"/>
              </w:rPr>
              <w:t>DISCLAIMER</w:t>
            </w:r>
          </w:p>
          <w:p w14:paraId="17C0B52E" w14:textId="77777777" w:rsidR="0036238F" w:rsidRDefault="0036238F" w:rsidP="00C754E3">
            <w:pPr>
              <w:spacing w:after="120"/>
            </w:pPr>
            <w:r>
              <w:rPr>
                <w:sz w:val="20"/>
                <w:szCs w:val="20"/>
              </w:rPr>
              <w:t>This template is provided for informational and educational purposes only and does not constitute legal, tax, or accounting advice. The user of this document is solely responsible for:</w:t>
            </w:r>
          </w:p>
          <w:p w14:paraId="56F36327" w14:textId="77777777" w:rsidR="0036238F" w:rsidRDefault="0036238F" w:rsidP="0036238F">
            <w:pPr>
              <w:pStyle w:val="ListParagraph"/>
              <w:numPr>
                <w:ilvl w:val="0"/>
                <w:numId w:val="4"/>
              </w:numPr>
            </w:pPr>
            <w:r>
              <w:rPr>
                <w:sz w:val="20"/>
                <w:szCs w:val="20"/>
              </w:rPr>
              <w:t xml:space="preserve">Reviewing and customizing this template to fit their specific business </w:t>
            </w:r>
            <w:proofErr w:type="gramStart"/>
            <w:r>
              <w:rPr>
                <w:sz w:val="20"/>
                <w:szCs w:val="20"/>
              </w:rPr>
              <w:t>circumstances;</w:t>
            </w:r>
            <w:proofErr w:type="gramEnd"/>
          </w:p>
          <w:p w14:paraId="522FBDE9" w14:textId="77777777" w:rsidR="0036238F" w:rsidRDefault="0036238F" w:rsidP="0036238F">
            <w:pPr>
              <w:pStyle w:val="ListParagraph"/>
              <w:numPr>
                <w:ilvl w:val="0"/>
                <w:numId w:val="4"/>
              </w:numPr>
            </w:pPr>
            <w:r>
              <w:rPr>
                <w:sz w:val="20"/>
                <w:szCs w:val="20"/>
              </w:rPr>
              <w:t xml:space="preserve">Ensuring compliance with all applicable federal, state, and local laws and </w:t>
            </w:r>
            <w:proofErr w:type="gramStart"/>
            <w:r>
              <w:rPr>
                <w:sz w:val="20"/>
                <w:szCs w:val="20"/>
              </w:rPr>
              <w:t>regulations;</w:t>
            </w:r>
            <w:proofErr w:type="gramEnd"/>
          </w:p>
          <w:p w14:paraId="0C957F52" w14:textId="77777777" w:rsidR="0036238F" w:rsidRDefault="0036238F" w:rsidP="0036238F">
            <w:pPr>
              <w:pStyle w:val="ListParagraph"/>
              <w:numPr>
                <w:ilvl w:val="0"/>
                <w:numId w:val="4"/>
              </w:numPr>
            </w:pPr>
            <w:r>
              <w:rPr>
                <w:sz w:val="20"/>
                <w:szCs w:val="20"/>
              </w:rPr>
              <w:t xml:space="preserve">Consulting with a qualified attorney, CPA, or tax advisor before </w:t>
            </w:r>
            <w:proofErr w:type="gramStart"/>
            <w:r>
              <w:rPr>
                <w:sz w:val="20"/>
                <w:szCs w:val="20"/>
              </w:rPr>
              <w:t>implementation;</w:t>
            </w:r>
            <w:proofErr w:type="gramEnd"/>
          </w:p>
          <w:p w14:paraId="5E4220F0" w14:textId="77777777" w:rsidR="0036238F" w:rsidRDefault="0036238F" w:rsidP="0036238F">
            <w:pPr>
              <w:pStyle w:val="ListParagraph"/>
              <w:numPr>
                <w:ilvl w:val="0"/>
                <w:numId w:val="4"/>
              </w:numPr>
            </w:pPr>
            <w:r>
              <w:rPr>
                <w:sz w:val="20"/>
                <w:szCs w:val="20"/>
              </w:rPr>
              <w:t>Properly administering and enforcing the plan once adopted; and</w:t>
            </w:r>
          </w:p>
          <w:p w14:paraId="29F68136" w14:textId="77777777" w:rsidR="0036238F" w:rsidRDefault="0036238F" w:rsidP="0036238F">
            <w:pPr>
              <w:pStyle w:val="ListParagraph"/>
              <w:numPr>
                <w:ilvl w:val="0"/>
                <w:numId w:val="4"/>
              </w:numPr>
            </w:pPr>
            <w:r>
              <w:rPr>
                <w:sz w:val="20"/>
                <w:szCs w:val="20"/>
              </w:rPr>
              <w:t>Maintaining all required documentation and records.</w:t>
            </w:r>
          </w:p>
          <w:p w14:paraId="70C7CF47" w14:textId="77777777" w:rsidR="0036238F" w:rsidRDefault="0036238F" w:rsidP="00C754E3">
            <w:pPr>
              <w:spacing w:before="120" w:after="120"/>
            </w:pPr>
            <w:r>
              <w:rPr>
                <w:sz w:val="20"/>
                <w:szCs w:val="20"/>
              </w:rPr>
              <w:t xml:space="preserve">No preparer-client or attorney-client relationship is created by </w:t>
            </w:r>
            <w:proofErr w:type="gramStart"/>
            <w:r>
              <w:rPr>
                <w:sz w:val="20"/>
                <w:szCs w:val="20"/>
              </w:rPr>
              <w:t>use of</w:t>
            </w:r>
            <w:proofErr w:type="gramEnd"/>
            <w:r>
              <w:rPr>
                <w:sz w:val="20"/>
                <w:szCs w:val="20"/>
              </w:rPr>
              <w:t xml:space="preserve"> this template. The provider of this template assumes no liability for any errors, omissions, or outcomes resulting from its use.</w:t>
            </w:r>
          </w:p>
        </w:tc>
      </w:tr>
    </w:tbl>
    <w:p w14:paraId="7573949B" w14:textId="77777777" w:rsidR="0036238F" w:rsidRDefault="0036238F" w:rsidP="0036238F">
      <w:pPr>
        <w:spacing w:after="360"/>
      </w:pPr>
    </w:p>
    <w:p w14:paraId="40972D69" w14:textId="77777777" w:rsidR="0036238F" w:rsidRDefault="0036238F">
      <w:pPr>
        <w:pStyle w:val="Title"/>
      </w:pPr>
    </w:p>
    <w:p w14:paraId="3BCA9A2E" w14:textId="0617229A" w:rsidR="000B2A57" w:rsidRDefault="00000000">
      <w:pPr>
        <w:pStyle w:val="Title"/>
      </w:pPr>
      <w:r>
        <w:t>CAPITALIZATION POLICY</w:t>
      </w:r>
    </w:p>
    <w:p w14:paraId="6689B8A4" w14:textId="77777777" w:rsidR="000B2A57" w:rsidRDefault="00000000">
      <w:pPr>
        <w:spacing w:after="120"/>
        <w:jc w:val="center"/>
        <w:rPr>
          <w:i/>
          <w:iCs/>
        </w:rPr>
      </w:pPr>
      <w:r>
        <w:rPr>
          <w:i/>
          <w:iCs/>
        </w:rPr>
        <w:t>Under Treasury Regulations Section 1.263(a)</w:t>
      </w:r>
    </w:p>
    <w:p w14:paraId="11F52DF6" w14:textId="77777777" w:rsidR="00C234A7" w:rsidRDefault="00C234A7">
      <w:pPr>
        <w:spacing w:after="120"/>
        <w:jc w:val="center"/>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80"/>
        <w:gridCol w:w="6478"/>
      </w:tblGrid>
      <w:tr w:rsidR="000B2A57" w14:paraId="6D34AC40" w14:textId="77777777">
        <w:tblPrEx>
          <w:tblCellMar>
            <w:top w:w="0" w:type="dxa"/>
            <w:bottom w:w="0" w:type="dxa"/>
          </w:tblCellMar>
        </w:tblPrEx>
        <w:tc>
          <w:tcPr>
            <w:tcW w:w="2880" w:type="dxa"/>
            <w:tcBorders>
              <w:top w:val="single" w:sz="1" w:space="0" w:color="000000"/>
              <w:left w:val="single" w:sz="1" w:space="0" w:color="000000"/>
              <w:bottom w:val="single" w:sz="1" w:space="0" w:color="000000"/>
              <w:right w:val="single" w:sz="1" w:space="0" w:color="000000"/>
            </w:tcBorders>
            <w:shd w:val="clear" w:color="auto" w:fill="E6E6E6"/>
          </w:tcPr>
          <w:p w14:paraId="4C7D54ED" w14:textId="77777777" w:rsidR="000B2A57" w:rsidRDefault="00000000">
            <w:r>
              <w:rPr>
                <w:b/>
                <w:bCs/>
              </w:rPr>
              <w:t>Business Name:</w:t>
            </w:r>
          </w:p>
        </w:tc>
        <w:tc>
          <w:tcPr>
            <w:tcW w:w="6480" w:type="dxa"/>
            <w:tcBorders>
              <w:top w:val="single" w:sz="1" w:space="0" w:color="000000"/>
              <w:left w:val="single" w:sz="1" w:space="0" w:color="000000"/>
              <w:bottom w:val="single" w:sz="1" w:space="0" w:color="000000"/>
              <w:right w:val="single" w:sz="1" w:space="0" w:color="000000"/>
            </w:tcBorders>
          </w:tcPr>
          <w:p w14:paraId="7F2FF0C5" w14:textId="77777777" w:rsidR="000B2A57" w:rsidRDefault="000B2A57"/>
        </w:tc>
      </w:tr>
      <w:tr w:rsidR="000B2A57" w14:paraId="10BCC692" w14:textId="77777777">
        <w:tblPrEx>
          <w:tblCellMar>
            <w:top w:w="0" w:type="dxa"/>
            <w:bottom w:w="0" w:type="dxa"/>
          </w:tblCellMar>
        </w:tblPrEx>
        <w:tc>
          <w:tcPr>
            <w:tcW w:w="2880" w:type="dxa"/>
            <w:tcBorders>
              <w:top w:val="single" w:sz="1" w:space="0" w:color="000000"/>
              <w:left w:val="single" w:sz="1" w:space="0" w:color="000000"/>
              <w:bottom w:val="single" w:sz="1" w:space="0" w:color="000000"/>
              <w:right w:val="single" w:sz="1" w:space="0" w:color="000000"/>
            </w:tcBorders>
            <w:shd w:val="clear" w:color="auto" w:fill="E6E6E6"/>
          </w:tcPr>
          <w:p w14:paraId="18C108AA" w14:textId="77777777" w:rsidR="000B2A57" w:rsidRDefault="00000000">
            <w:r>
              <w:rPr>
                <w:b/>
                <w:bCs/>
              </w:rPr>
              <w:t>EIN:</w:t>
            </w:r>
          </w:p>
        </w:tc>
        <w:tc>
          <w:tcPr>
            <w:tcW w:w="6480" w:type="dxa"/>
            <w:tcBorders>
              <w:top w:val="single" w:sz="1" w:space="0" w:color="000000"/>
              <w:left w:val="single" w:sz="1" w:space="0" w:color="000000"/>
              <w:bottom w:val="single" w:sz="1" w:space="0" w:color="000000"/>
              <w:right w:val="single" w:sz="1" w:space="0" w:color="000000"/>
            </w:tcBorders>
          </w:tcPr>
          <w:p w14:paraId="40762D83" w14:textId="77777777" w:rsidR="000B2A57" w:rsidRDefault="000B2A57"/>
        </w:tc>
      </w:tr>
      <w:tr w:rsidR="000B2A57" w14:paraId="0C575C3E" w14:textId="77777777">
        <w:tblPrEx>
          <w:tblCellMar>
            <w:top w:w="0" w:type="dxa"/>
            <w:bottom w:w="0" w:type="dxa"/>
          </w:tblCellMar>
        </w:tblPrEx>
        <w:tc>
          <w:tcPr>
            <w:tcW w:w="2880" w:type="dxa"/>
            <w:tcBorders>
              <w:top w:val="single" w:sz="1" w:space="0" w:color="000000"/>
              <w:left w:val="single" w:sz="1" w:space="0" w:color="000000"/>
              <w:bottom w:val="single" w:sz="1" w:space="0" w:color="000000"/>
              <w:right w:val="single" w:sz="1" w:space="0" w:color="000000"/>
            </w:tcBorders>
            <w:shd w:val="clear" w:color="auto" w:fill="E6E6E6"/>
          </w:tcPr>
          <w:p w14:paraId="351A898F" w14:textId="77777777" w:rsidR="000B2A57" w:rsidRDefault="00000000">
            <w:r>
              <w:rPr>
                <w:b/>
                <w:bCs/>
              </w:rPr>
              <w:t>Effective Date:</w:t>
            </w:r>
          </w:p>
        </w:tc>
        <w:tc>
          <w:tcPr>
            <w:tcW w:w="6480" w:type="dxa"/>
            <w:tcBorders>
              <w:top w:val="single" w:sz="1" w:space="0" w:color="000000"/>
              <w:left w:val="single" w:sz="1" w:space="0" w:color="000000"/>
              <w:bottom w:val="single" w:sz="1" w:space="0" w:color="000000"/>
              <w:right w:val="single" w:sz="1" w:space="0" w:color="000000"/>
            </w:tcBorders>
          </w:tcPr>
          <w:p w14:paraId="561C0778" w14:textId="77777777" w:rsidR="000B2A57" w:rsidRDefault="000B2A57"/>
        </w:tc>
      </w:tr>
      <w:tr w:rsidR="000B2A57" w14:paraId="4E044A6A" w14:textId="77777777">
        <w:tblPrEx>
          <w:tblCellMar>
            <w:top w:w="0" w:type="dxa"/>
            <w:bottom w:w="0" w:type="dxa"/>
          </w:tblCellMar>
        </w:tblPrEx>
        <w:tc>
          <w:tcPr>
            <w:tcW w:w="2880" w:type="dxa"/>
            <w:tcBorders>
              <w:top w:val="single" w:sz="1" w:space="0" w:color="000000"/>
              <w:left w:val="single" w:sz="1" w:space="0" w:color="000000"/>
              <w:bottom w:val="single" w:sz="1" w:space="0" w:color="000000"/>
              <w:right w:val="single" w:sz="1" w:space="0" w:color="000000"/>
            </w:tcBorders>
            <w:shd w:val="clear" w:color="auto" w:fill="E6E6E6"/>
          </w:tcPr>
          <w:p w14:paraId="0E7A5B3E" w14:textId="77777777" w:rsidR="000B2A57" w:rsidRDefault="00000000">
            <w:r>
              <w:rPr>
                <w:b/>
                <w:bCs/>
              </w:rPr>
              <w:t>Tax Year Beginning:</w:t>
            </w:r>
          </w:p>
        </w:tc>
        <w:tc>
          <w:tcPr>
            <w:tcW w:w="6480" w:type="dxa"/>
            <w:tcBorders>
              <w:top w:val="single" w:sz="1" w:space="0" w:color="000000"/>
              <w:left w:val="single" w:sz="1" w:space="0" w:color="000000"/>
              <w:bottom w:val="single" w:sz="1" w:space="0" w:color="000000"/>
              <w:right w:val="single" w:sz="1" w:space="0" w:color="000000"/>
            </w:tcBorders>
          </w:tcPr>
          <w:p w14:paraId="070B0D27" w14:textId="77777777" w:rsidR="000B2A57" w:rsidRDefault="000B2A57"/>
        </w:tc>
      </w:tr>
    </w:tbl>
    <w:p w14:paraId="15A795A8" w14:textId="77777777" w:rsidR="000B2A57" w:rsidRDefault="000B2A57">
      <w:pPr>
        <w:spacing w:after="240"/>
      </w:pPr>
    </w:p>
    <w:p w14:paraId="59251D01" w14:textId="77777777" w:rsidR="000B2A57" w:rsidRDefault="00000000">
      <w:pPr>
        <w:pStyle w:val="Heading1"/>
      </w:pPr>
      <w:r>
        <w:t>1. PURPOSE</w:t>
      </w:r>
    </w:p>
    <w:p w14:paraId="7FD69A6F" w14:textId="77777777" w:rsidR="000B2A57" w:rsidRDefault="00000000">
      <w:pPr>
        <w:spacing w:after="200"/>
      </w:pPr>
      <w:r>
        <w:t xml:space="preserve">This policy establishes guidelines for the capitalization and </w:t>
      </w:r>
      <w:proofErr w:type="gramStart"/>
      <w:r>
        <w:t>expensing</w:t>
      </w:r>
      <w:proofErr w:type="gramEnd"/>
      <w:r>
        <w:t xml:space="preserve"> of tangible property in accordance with the final tangible property regulations under Internal Revenue Code Section 263(a) and related Treasury Regulations (Treas. Reg. §§ 1.263(a)-1 through 1.263(a)-3 and 1.162-3).</w:t>
      </w:r>
    </w:p>
    <w:p w14:paraId="66EF83D1" w14:textId="77777777" w:rsidR="000B2A57" w:rsidRDefault="00000000">
      <w:pPr>
        <w:pStyle w:val="Heading1"/>
      </w:pPr>
      <w:r>
        <w:t>2. DE MINIMIS SAFE HARBOR ELECTION</w:t>
      </w:r>
    </w:p>
    <w:p w14:paraId="0DA0CD8F" w14:textId="77777777" w:rsidR="000B2A57" w:rsidRDefault="00000000">
      <w:pPr>
        <w:spacing w:after="120"/>
      </w:pPr>
      <w:r>
        <w:t xml:space="preserve">Pursuant to Treas. Reg. § 1.263(a)-1(f), the Business elects to apply </w:t>
      </w:r>
      <w:proofErr w:type="gramStart"/>
      <w:r>
        <w:t>the de</w:t>
      </w:r>
      <w:proofErr w:type="gramEnd"/>
      <w:r>
        <w:t xml:space="preserve"> minimis safe harbor to amounts paid for the acquisition or production of tangible property.</w:t>
      </w:r>
    </w:p>
    <w:p w14:paraId="6CFA9840" w14:textId="77777777" w:rsidR="000B2A57" w:rsidRDefault="00000000">
      <w:pPr>
        <w:pStyle w:val="Heading2"/>
      </w:pPr>
      <w:r>
        <w:t>2.1 Threshold Amount</w:t>
      </w:r>
    </w:p>
    <w:p w14:paraId="64AFBD05" w14:textId="77777777" w:rsidR="000B2A57" w:rsidRDefault="00000000">
      <w:pPr>
        <w:spacing w:after="120"/>
      </w:pPr>
      <w:r>
        <w:t>The Business will expense (deduct) amounts paid for tangible property that meet the following criteria:</w:t>
      </w:r>
    </w:p>
    <w:p w14:paraId="44F346B4" w14:textId="77777777" w:rsidR="000B2A57" w:rsidRDefault="00000000">
      <w:pPr>
        <w:pStyle w:val="ListParagraph"/>
        <w:numPr>
          <w:ilvl w:val="0"/>
          <w:numId w:val="2"/>
        </w:numPr>
      </w:pPr>
      <w:r>
        <w:rPr>
          <w:b/>
          <w:bCs/>
        </w:rPr>
        <w:t xml:space="preserve">Without Applicable Financial Statement (AFS): </w:t>
      </w:r>
      <w:r>
        <w:t>The cost per item or per invoice does not exceed $2,500.</w:t>
      </w:r>
    </w:p>
    <w:p w14:paraId="43EC31B8" w14:textId="77777777" w:rsidR="000B2A57" w:rsidRDefault="00000000">
      <w:pPr>
        <w:pStyle w:val="ListParagraph"/>
        <w:numPr>
          <w:ilvl w:val="0"/>
          <w:numId w:val="2"/>
        </w:numPr>
        <w:spacing w:after="120"/>
      </w:pPr>
      <w:r>
        <w:rPr>
          <w:b/>
          <w:bCs/>
        </w:rPr>
        <w:t xml:space="preserve">With Applicable Financial Statement (AFS): </w:t>
      </w:r>
      <w:r>
        <w:t>The cost per item or per invoice does not exceed $5,000.</w:t>
      </w:r>
    </w:p>
    <w:p w14:paraId="573C40E0" w14:textId="77777777" w:rsidR="000B2A57" w:rsidRDefault="00000000">
      <w:pPr>
        <w:spacing w:after="200"/>
      </w:pPr>
      <w:r>
        <w:rPr>
          <w:b/>
          <w:bCs/>
        </w:rPr>
        <w:lastRenderedPageBreak/>
        <w:t xml:space="preserve">Note: </w:t>
      </w:r>
      <w:r>
        <w:t>An Applicable Financial Statement includes audited financial statements, filed with the SEC, or other financial statements required to be provided to federal or state governments.</w:t>
      </w:r>
    </w:p>
    <w:p w14:paraId="3D91B3D5" w14:textId="77777777" w:rsidR="000B2A57" w:rsidRDefault="00000000">
      <w:pPr>
        <w:pStyle w:val="Heading2"/>
      </w:pPr>
      <w:r>
        <w:t>2.2 Application</w:t>
      </w:r>
    </w:p>
    <w:p w14:paraId="19ACBFC8" w14:textId="77777777" w:rsidR="000B2A57" w:rsidRDefault="00000000">
      <w:pPr>
        <w:spacing w:after="200"/>
      </w:pPr>
      <w:r>
        <w:t>This safe harbor applies to amounts paid during the tax year for property that is deducted for financial accounting purposes or in keeping with the taxpayer's books and records. The election is made annually by attaching a statement to the timely filed original federal tax return (including extensions).</w:t>
      </w:r>
    </w:p>
    <w:p w14:paraId="1346277D" w14:textId="77777777" w:rsidR="000B2A57" w:rsidRDefault="00000000">
      <w:pPr>
        <w:pStyle w:val="Heading1"/>
      </w:pPr>
      <w:r>
        <w:t>3. CAPITALIZATION THRESHOLD</w:t>
      </w:r>
    </w:p>
    <w:p w14:paraId="056592FF" w14:textId="77777777" w:rsidR="000B2A57" w:rsidRDefault="00000000">
      <w:pPr>
        <w:spacing w:after="120"/>
      </w:pPr>
      <w:r>
        <w:t xml:space="preserve">For amounts exceeding </w:t>
      </w:r>
      <w:proofErr w:type="gramStart"/>
      <w:r>
        <w:t>the de</w:t>
      </w:r>
      <w:proofErr w:type="gramEnd"/>
      <w:r>
        <w:t xml:space="preserve"> minimis threshold, the Business will capitalize expenditures for tangible property if:</w:t>
      </w:r>
    </w:p>
    <w:p w14:paraId="24C4F709" w14:textId="77777777" w:rsidR="000B2A57" w:rsidRDefault="00000000">
      <w:pPr>
        <w:pStyle w:val="ListParagraph"/>
        <w:numPr>
          <w:ilvl w:val="0"/>
          <w:numId w:val="3"/>
        </w:numPr>
      </w:pPr>
      <w:r>
        <w:t>The property has a useful life exceeding 12 months; AND</w:t>
      </w:r>
    </w:p>
    <w:p w14:paraId="3345E92A" w14:textId="77777777" w:rsidR="000B2A57" w:rsidRDefault="00000000">
      <w:pPr>
        <w:pStyle w:val="ListParagraph"/>
        <w:numPr>
          <w:ilvl w:val="0"/>
          <w:numId w:val="3"/>
        </w:numPr>
        <w:spacing w:after="200"/>
      </w:pPr>
      <w:r>
        <w:t>The cost exceeds the applicable de minimis threshold stated above.</w:t>
      </w:r>
    </w:p>
    <w:p w14:paraId="04C6A679" w14:textId="77777777" w:rsidR="00C234A7" w:rsidRDefault="00C234A7" w:rsidP="00C234A7">
      <w:pPr>
        <w:spacing w:after="200"/>
      </w:pPr>
    </w:p>
    <w:p w14:paraId="1C0EC262" w14:textId="77777777" w:rsidR="000B2A57" w:rsidRDefault="00000000">
      <w:pPr>
        <w:pStyle w:val="Heading1"/>
      </w:pPr>
      <w:r>
        <w:t>4. MATERIALS AND SUPPLIES</w:t>
      </w:r>
    </w:p>
    <w:p w14:paraId="7D43E012" w14:textId="77777777" w:rsidR="000B2A57" w:rsidRDefault="00000000">
      <w:pPr>
        <w:spacing w:after="120"/>
      </w:pPr>
      <w:r>
        <w:t>Pursuant to Treas. Reg. § 1.162-3, the Business will deduct amounts paid for materials and supplies in the tax year in which they are first used or consumed in operations. Materials and supplies include:</w:t>
      </w:r>
    </w:p>
    <w:p w14:paraId="2FF814C4" w14:textId="77777777" w:rsidR="000B2A57" w:rsidRDefault="00000000">
      <w:pPr>
        <w:pStyle w:val="ListParagraph"/>
        <w:numPr>
          <w:ilvl w:val="0"/>
          <w:numId w:val="3"/>
        </w:numPr>
      </w:pPr>
      <w:r>
        <w:t xml:space="preserve">Components acquired to maintain, repair, or improve a unit of tangible </w:t>
      </w:r>
      <w:proofErr w:type="gramStart"/>
      <w:r>
        <w:t>property;</w:t>
      </w:r>
      <w:proofErr w:type="gramEnd"/>
    </w:p>
    <w:p w14:paraId="5B41715A" w14:textId="77777777" w:rsidR="000B2A57" w:rsidRDefault="00000000">
      <w:pPr>
        <w:pStyle w:val="ListParagraph"/>
        <w:numPr>
          <w:ilvl w:val="0"/>
          <w:numId w:val="3"/>
        </w:numPr>
      </w:pPr>
      <w:r>
        <w:t xml:space="preserve">Fuel, lubricants, and similar items reasonably expected to be consumed within 12 </w:t>
      </w:r>
      <w:proofErr w:type="gramStart"/>
      <w:r>
        <w:t>months;</w:t>
      </w:r>
      <w:proofErr w:type="gramEnd"/>
    </w:p>
    <w:p w14:paraId="78A674D7" w14:textId="77777777" w:rsidR="000B2A57" w:rsidRDefault="00000000">
      <w:pPr>
        <w:pStyle w:val="ListParagraph"/>
        <w:numPr>
          <w:ilvl w:val="0"/>
          <w:numId w:val="3"/>
        </w:numPr>
      </w:pPr>
      <w:r>
        <w:t>Property with an economic useful life of 12 months or less; and</w:t>
      </w:r>
    </w:p>
    <w:p w14:paraId="24DD5292" w14:textId="77777777" w:rsidR="000B2A57" w:rsidRDefault="00000000">
      <w:pPr>
        <w:pStyle w:val="ListParagraph"/>
        <w:numPr>
          <w:ilvl w:val="0"/>
          <w:numId w:val="3"/>
        </w:numPr>
        <w:spacing w:after="200"/>
      </w:pPr>
      <w:r>
        <w:t>Property with an acquisition cost of $200 or less.</w:t>
      </w:r>
    </w:p>
    <w:p w14:paraId="59B56542" w14:textId="77777777" w:rsidR="000B2A57" w:rsidRDefault="00000000">
      <w:pPr>
        <w:pStyle w:val="Heading1"/>
      </w:pPr>
      <w:r>
        <w:t>5. ROUTINE MAINTENANCE SAFE HARBOR</w:t>
      </w:r>
    </w:p>
    <w:p w14:paraId="1EFA73FD" w14:textId="77777777" w:rsidR="000B2A57" w:rsidRDefault="00000000">
      <w:pPr>
        <w:spacing w:after="200"/>
      </w:pPr>
      <w:r>
        <w:t>Pursuant to Treas. Reg. § 1.263(a)-3(</w:t>
      </w:r>
      <w:proofErr w:type="spellStart"/>
      <w:r>
        <w:t>i</w:t>
      </w:r>
      <w:proofErr w:type="spellEnd"/>
      <w:r>
        <w:t>), the Business will treat as deductible repairs any amounts paid for routine maintenance activities that keep property in its ordinarily efficient operating condition. Routine maintenance includes inspection, cleaning, testing, and replacement of worn or damaged parts with comparable parts. For buildings, the Business expects to perform such activities more than once during the 10-year period beginning when the property is placed in service.</w:t>
      </w:r>
    </w:p>
    <w:p w14:paraId="094070AE" w14:textId="77777777" w:rsidR="000B2A57" w:rsidRDefault="00000000">
      <w:pPr>
        <w:pStyle w:val="Heading1"/>
      </w:pPr>
      <w:r>
        <w:t>6. BUILDING SAFE HARBOR FOR SMALL TAXPAYERS</w:t>
      </w:r>
    </w:p>
    <w:p w14:paraId="082F666E" w14:textId="77777777" w:rsidR="000B2A57" w:rsidRDefault="00000000">
      <w:pPr>
        <w:spacing w:after="120"/>
      </w:pPr>
      <w:r>
        <w:t>If the Business qualifies as a small taxpayer (average annual gross receipts of $10 million or less for the three preceding tax years), and owns or leases a building with an unadjusted basis of $1 million or less, the Business may elect to deduct amounts paid for repairs, maintenance, and improvements to that building if the total amount paid during the tax year does not exceed the lesser of:</w:t>
      </w:r>
    </w:p>
    <w:p w14:paraId="1D794BAD" w14:textId="77777777" w:rsidR="000B2A57" w:rsidRDefault="00000000">
      <w:pPr>
        <w:pStyle w:val="ListParagraph"/>
        <w:numPr>
          <w:ilvl w:val="0"/>
          <w:numId w:val="3"/>
        </w:numPr>
      </w:pPr>
      <w:r>
        <w:t>2% of the unadjusted basis of the building; or</w:t>
      </w:r>
    </w:p>
    <w:p w14:paraId="5158EAC9" w14:textId="77777777" w:rsidR="000B2A57" w:rsidRDefault="00000000">
      <w:pPr>
        <w:pStyle w:val="ListParagraph"/>
        <w:numPr>
          <w:ilvl w:val="0"/>
          <w:numId w:val="3"/>
        </w:numPr>
        <w:spacing w:after="200"/>
      </w:pPr>
      <w:r>
        <w:t>$10,000.</w:t>
      </w:r>
    </w:p>
    <w:p w14:paraId="5B341109" w14:textId="77777777" w:rsidR="000B2A57" w:rsidRDefault="00000000">
      <w:pPr>
        <w:pStyle w:val="Heading1"/>
      </w:pPr>
      <w:r>
        <w:lastRenderedPageBreak/>
        <w:t>7. IMPROVEMENT ANALYSIS (BETTERMENT, ADAPTATION, RESTORATION)</w:t>
      </w:r>
    </w:p>
    <w:p w14:paraId="777E754F" w14:textId="77777777" w:rsidR="000B2A57" w:rsidRDefault="00000000">
      <w:pPr>
        <w:spacing w:after="120"/>
      </w:pPr>
      <w:r>
        <w:t>Amounts paid that do not qualify under the above safe harbors must be analyzed to determine whether they result in an improvement to a unit of property. An amount is an improvement if it:</w:t>
      </w:r>
    </w:p>
    <w:p w14:paraId="49675F3F" w14:textId="77777777" w:rsidR="000B2A57" w:rsidRDefault="00000000">
      <w:pPr>
        <w:pStyle w:val="ListParagraph"/>
        <w:numPr>
          <w:ilvl w:val="0"/>
          <w:numId w:val="3"/>
        </w:numPr>
      </w:pPr>
      <w:r>
        <w:rPr>
          <w:b/>
          <w:bCs/>
        </w:rPr>
        <w:t xml:space="preserve">Betterment: </w:t>
      </w:r>
      <w:r>
        <w:t xml:space="preserve">Corrects a material condition or defect, results in a material addition, or results in a material increase in capacity, productivity, efficiency, strength, or </w:t>
      </w:r>
      <w:proofErr w:type="gramStart"/>
      <w:r>
        <w:t>quality;</w:t>
      </w:r>
      <w:proofErr w:type="gramEnd"/>
    </w:p>
    <w:p w14:paraId="1DBDBDFE" w14:textId="77777777" w:rsidR="000B2A57" w:rsidRDefault="00000000">
      <w:pPr>
        <w:pStyle w:val="ListParagraph"/>
        <w:numPr>
          <w:ilvl w:val="0"/>
          <w:numId w:val="3"/>
        </w:numPr>
      </w:pPr>
      <w:r>
        <w:rPr>
          <w:b/>
          <w:bCs/>
        </w:rPr>
        <w:t xml:space="preserve">Adaptation: </w:t>
      </w:r>
      <w:r>
        <w:t>Adapts the property to a new or different use; or</w:t>
      </w:r>
    </w:p>
    <w:p w14:paraId="132E8567" w14:textId="77777777" w:rsidR="000B2A57" w:rsidRDefault="00000000">
      <w:pPr>
        <w:pStyle w:val="ListParagraph"/>
        <w:numPr>
          <w:ilvl w:val="0"/>
          <w:numId w:val="3"/>
        </w:numPr>
        <w:spacing w:after="200"/>
      </w:pPr>
      <w:r>
        <w:rPr>
          <w:b/>
          <w:bCs/>
        </w:rPr>
        <w:t xml:space="preserve">Restoration: </w:t>
      </w:r>
      <w:r>
        <w:t xml:space="preserve">Returns the property to its ordinarily efficient operating condition after it has deteriorated to a state of disrepair, </w:t>
      </w:r>
      <w:proofErr w:type="gramStart"/>
      <w:r>
        <w:t>rebuilds</w:t>
      </w:r>
      <w:proofErr w:type="gramEnd"/>
      <w:r>
        <w:t xml:space="preserve"> the property to like-new condition, or replaces a major component or substantial structural part.</w:t>
      </w:r>
    </w:p>
    <w:p w14:paraId="7AC088DF" w14:textId="77777777" w:rsidR="000B2A57" w:rsidRDefault="00000000">
      <w:pPr>
        <w:pStyle w:val="Heading1"/>
      </w:pPr>
      <w:r>
        <w:t>8. RECORDKEEPING</w:t>
      </w:r>
    </w:p>
    <w:p w14:paraId="474FC5A7" w14:textId="77777777" w:rsidR="000B2A57" w:rsidRDefault="00000000">
      <w:pPr>
        <w:spacing w:after="200"/>
      </w:pPr>
      <w:r>
        <w:t>The Business will maintain adequate records to support the treatment of expenditures under this policy, including invoices, receipts, and documentation of the analysis performed for amounts that exceed the de minimis threshold.</w:t>
      </w:r>
    </w:p>
    <w:p w14:paraId="47C15591" w14:textId="77777777" w:rsidR="00C234A7" w:rsidRDefault="00C234A7">
      <w:pPr>
        <w:spacing w:after="200"/>
      </w:pPr>
    </w:p>
    <w:p w14:paraId="5A5E6E35" w14:textId="77777777" w:rsidR="000B2A57" w:rsidRDefault="00000000">
      <w:pPr>
        <w:pStyle w:val="Heading1"/>
      </w:pPr>
      <w:r>
        <w:t>9. ANNUAL ELECTION STATEMENT</w:t>
      </w:r>
    </w:p>
    <w:p w14:paraId="73B6DF96" w14:textId="77777777" w:rsidR="000B2A57" w:rsidRDefault="00000000">
      <w:pPr>
        <w:spacing w:after="120"/>
      </w:pPr>
      <w:r>
        <w:t>The Business will attach the following statement to its timely filed federal income tax return (including extensions) for each tax year in which the de minimis safe harbor election is made:</w:t>
      </w:r>
    </w:p>
    <w:p w14:paraId="49AC72C1" w14:textId="77777777" w:rsidR="000B2A57" w:rsidRDefault="00000000">
      <w:pPr>
        <w:spacing w:after="200"/>
        <w:ind w:left="720"/>
      </w:pPr>
      <w:r>
        <w:rPr>
          <w:i/>
          <w:iCs/>
        </w:rPr>
        <w:t>"[Business Name] is hereby making the de minimis safe harbor election under Treas. Reg. § 1.263(a)-1(f) for the tax year ending [date]."</w:t>
      </w:r>
    </w:p>
    <w:p w14:paraId="77BB3A4A" w14:textId="77777777" w:rsidR="000B2A57" w:rsidRDefault="00000000">
      <w:pPr>
        <w:pStyle w:val="Heading1"/>
      </w:pPr>
      <w:r>
        <w:t>10. ADOPTION</w:t>
      </w:r>
    </w:p>
    <w:p w14:paraId="64B82377" w14:textId="77777777" w:rsidR="000B2A57" w:rsidRDefault="00000000">
      <w:pPr>
        <w:spacing w:after="360"/>
      </w:pPr>
      <w:r>
        <w:t>This policy is adopted as of the effective date stated above and applies to all tax years beginning on or after that date.</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0B2A57" w14:paraId="5A42C2F0" w14:textId="77777777">
        <w:tblPrEx>
          <w:tblCellMar>
            <w:top w:w="0" w:type="dxa"/>
            <w:bottom w:w="0" w:type="dxa"/>
          </w:tblCellMar>
        </w:tblPrEx>
        <w:tc>
          <w:tcPr>
            <w:tcW w:w="4680" w:type="dxa"/>
            <w:tcBorders>
              <w:top w:val="nil"/>
              <w:left w:val="nil"/>
              <w:bottom w:val="nil"/>
              <w:right w:val="nil"/>
            </w:tcBorders>
          </w:tcPr>
          <w:p w14:paraId="07356C5E" w14:textId="77777777" w:rsidR="000B2A57" w:rsidRDefault="00000000">
            <w:r>
              <w:t>_________________________________</w:t>
            </w:r>
          </w:p>
          <w:p w14:paraId="278B0759" w14:textId="77777777" w:rsidR="000B2A57" w:rsidRDefault="00000000">
            <w:r>
              <w:t>Signature</w:t>
            </w:r>
          </w:p>
          <w:p w14:paraId="1BA5B9D3" w14:textId="77777777" w:rsidR="000B2A57" w:rsidRDefault="000B2A57">
            <w:pPr>
              <w:spacing w:after="200"/>
            </w:pPr>
          </w:p>
          <w:p w14:paraId="3FD69AFC" w14:textId="77777777" w:rsidR="000B2A57" w:rsidRDefault="00000000">
            <w:r>
              <w:t>_________________________________</w:t>
            </w:r>
          </w:p>
          <w:p w14:paraId="27048C64" w14:textId="77777777" w:rsidR="000B2A57" w:rsidRDefault="00000000">
            <w:r>
              <w:t>Printed Name</w:t>
            </w:r>
          </w:p>
        </w:tc>
        <w:tc>
          <w:tcPr>
            <w:tcW w:w="4680" w:type="dxa"/>
            <w:tcBorders>
              <w:top w:val="nil"/>
              <w:left w:val="nil"/>
              <w:bottom w:val="nil"/>
              <w:right w:val="nil"/>
            </w:tcBorders>
          </w:tcPr>
          <w:p w14:paraId="748A9FCF" w14:textId="77777777" w:rsidR="000B2A57" w:rsidRDefault="00000000">
            <w:r>
              <w:t>_________________________________</w:t>
            </w:r>
          </w:p>
          <w:p w14:paraId="0521ACFB" w14:textId="77777777" w:rsidR="000B2A57" w:rsidRDefault="00000000">
            <w:r>
              <w:t>Title</w:t>
            </w:r>
          </w:p>
          <w:p w14:paraId="77F5D87F" w14:textId="77777777" w:rsidR="000B2A57" w:rsidRDefault="000B2A57">
            <w:pPr>
              <w:spacing w:after="200"/>
            </w:pPr>
          </w:p>
          <w:p w14:paraId="2D7F6CA2" w14:textId="77777777" w:rsidR="000B2A57" w:rsidRDefault="00000000">
            <w:r>
              <w:t>_________________________________</w:t>
            </w:r>
          </w:p>
          <w:p w14:paraId="0C775D4B" w14:textId="77777777" w:rsidR="000B2A57" w:rsidRDefault="00000000">
            <w:r>
              <w:t>Date</w:t>
            </w:r>
          </w:p>
        </w:tc>
      </w:tr>
    </w:tbl>
    <w:p w14:paraId="4E3D4FF9" w14:textId="77777777" w:rsidR="000B2A57" w:rsidRDefault="000B2A57">
      <w:pPr>
        <w:spacing w:before="480"/>
      </w:pPr>
    </w:p>
    <w:p w14:paraId="2131D4AE" w14:textId="77777777" w:rsidR="000B2A57" w:rsidRDefault="00000000">
      <w:r>
        <w:rPr>
          <w:i/>
          <w:iCs/>
          <w:color w:val="666666"/>
          <w:sz w:val="20"/>
          <w:szCs w:val="20"/>
        </w:rPr>
        <w:t>This policy template is provided for informational purposes. Consult with a tax professional to ensure compliance with current regulations and applicability to your specific situation.</w:t>
      </w:r>
    </w:p>
    <w:sectPr w:rsidR="000B2A57" w:rsidSect="00C234A7">
      <w:footerReference w:type="default" r:id="rId7"/>
      <w:pgSz w:w="12240" w:h="15840" w:code="1"/>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36B57" w14:textId="77777777" w:rsidR="005C1D6E" w:rsidRDefault="005C1D6E" w:rsidP="00C234A7">
      <w:r>
        <w:separator/>
      </w:r>
    </w:p>
  </w:endnote>
  <w:endnote w:type="continuationSeparator" w:id="0">
    <w:p w14:paraId="129C25E4" w14:textId="77777777" w:rsidR="005C1D6E" w:rsidRDefault="005C1D6E" w:rsidP="00C23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752527"/>
      <w:docPartObj>
        <w:docPartGallery w:val="Page Numbers (Bottom of Page)"/>
        <w:docPartUnique/>
      </w:docPartObj>
    </w:sdtPr>
    <w:sdtContent>
      <w:sdt>
        <w:sdtPr>
          <w:id w:val="-1769616900"/>
          <w:docPartObj>
            <w:docPartGallery w:val="Page Numbers (Top of Page)"/>
            <w:docPartUnique/>
          </w:docPartObj>
        </w:sdtPr>
        <w:sdtContent>
          <w:p w14:paraId="34D7C193" w14:textId="798E1456" w:rsidR="00C234A7" w:rsidRPr="00C234A7" w:rsidRDefault="00C234A7">
            <w:pPr>
              <w:pStyle w:val="Footer"/>
              <w:jc w:val="right"/>
            </w:pPr>
            <w:r w:rsidRPr="00C234A7">
              <w:t xml:space="preserve">Page </w:t>
            </w:r>
            <w:r w:rsidRPr="00C234A7">
              <w:fldChar w:fldCharType="begin"/>
            </w:r>
            <w:r w:rsidRPr="00C234A7">
              <w:instrText xml:space="preserve"> PAGE </w:instrText>
            </w:r>
            <w:r w:rsidRPr="00C234A7">
              <w:fldChar w:fldCharType="separate"/>
            </w:r>
            <w:r w:rsidRPr="00C234A7">
              <w:rPr>
                <w:noProof/>
              </w:rPr>
              <w:t>2</w:t>
            </w:r>
            <w:r w:rsidRPr="00C234A7">
              <w:fldChar w:fldCharType="end"/>
            </w:r>
            <w:r w:rsidRPr="00C234A7">
              <w:t xml:space="preserve"> of </w:t>
            </w:r>
            <w:fldSimple w:instr=" NUMPAGES  ">
              <w:r w:rsidRPr="00C234A7">
                <w:rPr>
                  <w:noProof/>
                </w:rPr>
                <w:t>2</w:t>
              </w:r>
            </w:fldSimple>
          </w:p>
        </w:sdtContent>
      </w:sdt>
    </w:sdtContent>
  </w:sdt>
  <w:p w14:paraId="7C73DDB7" w14:textId="77777777" w:rsidR="00C234A7" w:rsidRPr="00C234A7" w:rsidRDefault="00C23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09FDD" w14:textId="77777777" w:rsidR="005C1D6E" w:rsidRDefault="005C1D6E" w:rsidP="00C234A7">
      <w:r>
        <w:separator/>
      </w:r>
    </w:p>
  </w:footnote>
  <w:footnote w:type="continuationSeparator" w:id="0">
    <w:p w14:paraId="6467871F" w14:textId="77777777" w:rsidR="005C1D6E" w:rsidRDefault="005C1D6E" w:rsidP="00C23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57CDF"/>
    <w:multiLevelType w:val="hybridMultilevel"/>
    <w:tmpl w:val="8F809F3E"/>
    <w:lvl w:ilvl="0" w:tplc="93F49B58">
      <w:start w:val="1"/>
      <w:numFmt w:val="lowerLetter"/>
      <w:lvlText w:val="%1."/>
      <w:lvlJc w:val="left"/>
      <w:pPr>
        <w:ind w:left="1080" w:hanging="360"/>
      </w:pPr>
    </w:lvl>
    <w:lvl w:ilvl="1" w:tplc="08922534">
      <w:numFmt w:val="decimal"/>
      <w:lvlText w:val=""/>
      <w:lvlJc w:val="left"/>
    </w:lvl>
    <w:lvl w:ilvl="2" w:tplc="A734EE78">
      <w:numFmt w:val="decimal"/>
      <w:lvlText w:val=""/>
      <w:lvlJc w:val="left"/>
    </w:lvl>
    <w:lvl w:ilvl="3" w:tplc="19DECD24">
      <w:numFmt w:val="decimal"/>
      <w:lvlText w:val=""/>
      <w:lvlJc w:val="left"/>
    </w:lvl>
    <w:lvl w:ilvl="4" w:tplc="8070E2FE">
      <w:numFmt w:val="decimal"/>
      <w:lvlText w:val=""/>
      <w:lvlJc w:val="left"/>
    </w:lvl>
    <w:lvl w:ilvl="5" w:tplc="EF901278">
      <w:numFmt w:val="decimal"/>
      <w:lvlText w:val=""/>
      <w:lvlJc w:val="left"/>
    </w:lvl>
    <w:lvl w:ilvl="6" w:tplc="D3AAA280">
      <w:numFmt w:val="decimal"/>
      <w:lvlText w:val=""/>
      <w:lvlJc w:val="left"/>
    </w:lvl>
    <w:lvl w:ilvl="7" w:tplc="B616105A">
      <w:numFmt w:val="decimal"/>
      <w:lvlText w:val=""/>
      <w:lvlJc w:val="left"/>
    </w:lvl>
    <w:lvl w:ilvl="8" w:tplc="A67A34A2">
      <w:numFmt w:val="decimal"/>
      <w:lvlText w:val=""/>
      <w:lvlJc w:val="left"/>
    </w:lvl>
  </w:abstractNum>
  <w:abstractNum w:abstractNumId="1" w15:restartNumberingAfterBreak="0">
    <w:nsid w:val="40426167"/>
    <w:multiLevelType w:val="hybridMultilevel"/>
    <w:tmpl w:val="116CBC0C"/>
    <w:lvl w:ilvl="0" w:tplc="8FB829B6">
      <w:start w:val="1"/>
      <w:numFmt w:val="decimal"/>
      <w:lvlText w:val="%1."/>
      <w:lvlJc w:val="left"/>
      <w:pPr>
        <w:ind w:left="720" w:hanging="360"/>
      </w:pPr>
    </w:lvl>
    <w:lvl w:ilvl="1" w:tplc="80442494">
      <w:numFmt w:val="decimal"/>
      <w:lvlText w:val=""/>
      <w:lvlJc w:val="left"/>
    </w:lvl>
    <w:lvl w:ilvl="2" w:tplc="94146566">
      <w:numFmt w:val="decimal"/>
      <w:lvlText w:val=""/>
      <w:lvlJc w:val="left"/>
    </w:lvl>
    <w:lvl w:ilvl="3" w:tplc="5F38730C">
      <w:numFmt w:val="decimal"/>
      <w:lvlText w:val=""/>
      <w:lvlJc w:val="left"/>
    </w:lvl>
    <w:lvl w:ilvl="4" w:tplc="195AEB14">
      <w:numFmt w:val="decimal"/>
      <w:lvlText w:val=""/>
      <w:lvlJc w:val="left"/>
    </w:lvl>
    <w:lvl w:ilvl="5" w:tplc="F766CD14">
      <w:numFmt w:val="decimal"/>
      <w:lvlText w:val=""/>
      <w:lvlJc w:val="left"/>
    </w:lvl>
    <w:lvl w:ilvl="6" w:tplc="EEE8FDCA">
      <w:numFmt w:val="decimal"/>
      <w:lvlText w:val=""/>
      <w:lvlJc w:val="left"/>
    </w:lvl>
    <w:lvl w:ilvl="7" w:tplc="C3307F26">
      <w:numFmt w:val="decimal"/>
      <w:lvlText w:val=""/>
      <w:lvlJc w:val="left"/>
    </w:lvl>
    <w:lvl w:ilvl="8" w:tplc="3C588046">
      <w:numFmt w:val="decimal"/>
      <w:lvlText w:val=""/>
      <w:lvlJc w:val="left"/>
    </w:lvl>
  </w:abstractNum>
  <w:abstractNum w:abstractNumId="2" w15:restartNumberingAfterBreak="0">
    <w:nsid w:val="68764AE5"/>
    <w:multiLevelType w:val="hybridMultilevel"/>
    <w:tmpl w:val="CE763750"/>
    <w:lvl w:ilvl="0" w:tplc="6798989C">
      <w:start w:val="1"/>
      <w:numFmt w:val="bullet"/>
      <w:lvlText w:val="•"/>
      <w:lvlJc w:val="left"/>
      <w:pPr>
        <w:ind w:left="720" w:hanging="360"/>
      </w:pPr>
    </w:lvl>
    <w:lvl w:ilvl="1" w:tplc="FD900E30">
      <w:numFmt w:val="decimal"/>
      <w:lvlText w:val=""/>
      <w:lvlJc w:val="left"/>
    </w:lvl>
    <w:lvl w:ilvl="2" w:tplc="8DA4356A">
      <w:numFmt w:val="decimal"/>
      <w:lvlText w:val=""/>
      <w:lvlJc w:val="left"/>
    </w:lvl>
    <w:lvl w:ilvl="3" w:tplc="7BC24C6E">
      <w:numFmt w:val="decimal"/>
      <w:lvlText w:val=""/>
      <w:lvlJc w:val="left"/>
    </w:lvl>
    <w:lvl w:ilvl="4" w:tplc="6B1A24B2">
      <w:numFmt w:val="decimal"/>
      <w:lvlText w:val=""/>
      <w:lvlJc w:val="left"/>
    </w:lvl>
    <w:lvl w:ilvl="5" w:tplc="3B0CA7B4">
      <w:numFmt w:val="decimal"/>
      <w:lvlText w:val=""/>
      <w:lvlJc w:val="left"/>
    </w:lvl>
    <w:lvl w:ilvl="6" w:tplc="0FB29F10">
      <w:numFmt w:val="decimal"/>
      <w:lvlText w:val=""/>
      <w:lvlJc w:val="left"/>
    </w:lvl>
    <w:lvl w:ilvl="7" w:tplc="B9E2A1AE">
      <w:numFmt w:val="decimal"/>
      <w:lvlText w:val=""/>
      <w:lvlJc w:val="left"/>
    </w:lvl>
    <w:lvl w:ilvl="8" w:tplc="1D3CDA78">
      <w:numFmt w:val="decimal"/>
      <w:lvlText w:val=""/>
      <w:lvlJc w:val="left"/>
    </w:lvl>
  </w:abstractNum>
  <w:abstractNum w:abstractNumId="3" w15:restartNumberingAfterBreak="0">
    <w:nsid w:val="790168B7"/>
    <w:multiLevelType w:val="hybridMultilevel"/>
    <w:tmpl w:val="E842EE10"/>
    <w:lvl w:ilvl="0" w:tplc="8DB4BA8C">
      <w:start w:val="1"/>
      <w:numFmt w:val="bullet"/>
      <w:lvlText w:val="●"/>
      <w:lvlJc w:val="left"/>
      <w:pPr>
        <w:ind w:left="720" w:hanging="360"/>
      </w:pPr>
    </w:lvl>
    <w:lvl w:ilvl="1" w:tplc="05D07DDA">
      <w:start w:val="1"/>
      <w:numFmt w:val="bullet"/>
      <w:lvlText w:val="○"/>
      <w:lvlJc w:val="left"/>
      <w:pPr>
        <w:ind w:left="1440" w:hanging="360"/>
      </w:pPr>
    </w:lvl>
    <w:lvl w:ilvl="2" w:tplc="A6B294E6">
      <w:start w:val="1"/>
      <w:numFmt w:val="bullet"/>
      <w:lvlText w:val="■"/>
      <w:lvlJc w:val="left"/>
      <w:pPr>
        <w:ind w:left="2160" w:hanging="360"/>
      </w:pPr>
    </w:lvl>
    <w:lvl w:ilvl="3" w:tplc="E3140116">
      <w:start w:val="1"/>
      <w:numFmt w:val="bullet"/>
      <w:lvlText w:val="●"/>
      <w:lvlJc w:val="left"/>
      <w:pPr>
        <w:ind w:left="2880" w:hanging="360"/>
      </w:pPr>
    </w:lvl>
    <w:lvl w:ilvl="4" w:tplc="28829104">
      <w:start w:val="1"/>
      <w:numFmt w:val="bullet"/>
      <w:lvlText w:val="○"/>
      <w:lvlJc w:val="left"/>
      <w:pPr>
        <w:ind w:left="3600" w:hanging="360"/>
      </w:pPr>
    </w:lvl>
    <w:lvl w:ilvl="5" w:tplc="ECBA2CCE">
      <w:start w:val="1"/>
      <w:numFmt w:val="bullet"/>
      <w:lvlText w:val="■"/>
      <w:lvlJc w:val="left"/>
      <w:pPr>
        <w:ind w:left="4320" w:hanging="360"/>
      </w:pPr>
    </w:lvl>
    <w:lvl w:ilvl="6" w:tplc="4D226602">
      <w:start w:val="1"/>
      <w:numFmt w:val="bullet"/>
      <w:lvlText w:val="●"/>
      <w:lvlJc w:val="left"/>
      <w:pPr>
        <w:ind w:left="5040" w:hanging="360"/>
      </w:pPr>
    </w:lvl>
    <w:lvl w:ilvl="7" w:tplc="E7A2AE54">
      <w:start w:val="1"/>
      <w:numFmt w:val="bullet"/>
      <w:lvlText w:val="●"/>
      <w:lvlJc w:val="left"/>
      <w:pPr>
        <w:ind w:left="5760" w:hanging="360"/>
      </w:pPr>
    </w:lvl>
    <w:lvl w:ilvl="8" w:tplc="622E0712">
      <w:start w:val="1"/>
      <w:numFmt w:val="bullet"/>
      <w:lvlText w:val="●"/>
      <w:lvlJc w:val="left"/>
      <w:pPr>
        <w:ind w:left="6480" w:hanging="360"/>
      </w:pPr>
    </w:lvl>
  </w:abstractNum>
  <w:num w:numId="1" w16cid:durableId="1771923411">
    <w:abstractNumId w:val="3"/>
    <w:lvlOverride w:ilvl="0">
      <w:startOverride w:val="1"/>
    </w:lvlOverride>
  </w:num>
  <w:num w:numId="2" w16cid:durableId="1717046422">
    <w:abstractNumId w:val="0"/>
    <w:lvlOverride w:ilvl="0">
      <w:startOverride w:val="1"/>
    </w:lvlOverride>
  </w:num>
  <w:num w:numId="3" w16cid:durableId="1290666778">
    <w:abstractNumId w:val="1"/>
    <w:lvlOverride w:ilvl="0">
      <w:startOverride w:val="1"/>
    </w:lvlOverride>
  </w:num>
  <w:num w:numId="4" w16cid:durableId="115017565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A57"/>
    <w:rsid w:val="000B2A57"/>
    <w:rsid w:val="000B6B23"/>
    <w:rsid w:val="0036238F"/>
    <w:rsid w:val="005C1D6E"/>
    <w:rsid w:val="00C23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2CE50"/>
  <w15:docId w15:val="{1801A06F-F618-4E67-94C9-03350F8ED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000000"/>
    </w:rPr>
  </w:style>
  <w:style w:type="paragraph" w:styleId="Heading2">
    <w:name w:val="heading 2"/>
    <w:uiPriority w:val="9"/>
    <w:unhideWhenUsed/>
    <w:qFormat/>
    <w:pPr>
      <w:spacing w:before="200" w:after="100"/>
      <w:outlineLvl w:val="1"/>
    </w:pPr>
    <w:rPr>
      <w:b/>
      <w:bCs/>
      <w:i/>
      <w:iCs/>
      <w:color w:val="000000"/>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40"/>
      <w:jc w:val="center"/>
    </w:pPr>
    <w:rPr>
      <w:b/>
      <w:bCs/>
      <w:color w:val="000000"/>
      <w:sz w:val="32"/>
      <w:szCs w:val="32"/>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234A7"/>
    <w:pPr>
      <w:tabs>
        <w:tab w:val="center" w:pos="4680"/>
        <w:tab w:val="right" w:pos="9360"/>
      </w:tabs>
    </w:pPr>
  </w:style>
  <w:style w:type="character" w:customStyle="1" w:styleId="HeaderChar">
    <w:name w:val="Header Char"/>
    <w:basedOn w:val="DefaultParagraphFont"/>
    <w:link w:val="Header"/>
    <w:uiPriority w:val="99"/>
    <w:rsid w:val="00C234A7"/>
  </w:style>
  <w:style w:type="paragraph" w:styleId="Footer">
    <w:name w:val="footer"/>
    <w:basedOn w:val="Normal"/>
    <w:link w:val="FooterChar"/>
    <w:uiPriority w:val="99"/>
    <w:unhideWhenUsed/>
    <w:rsid w:val="00C234A7"/>
    <w:pPr>
      <w:tabs>
        <w:tab w:val="center" w:pos="4680"/>
        <w:tab w:val="right" w:pos="9360"/>
      </w:tabs>
    </w:pPr>
  </w:style>
  <w:style w:type="character" w:customStyle="1" w:styleId="FooterChar">
    <w:name w:val="Footer Char"/>
    <w:basedOn w:val="DefaultParagraphFont"/>
    <w:link w:val="Footer"/>
    <w:uiPriority w:val="99"/>
    <w:rsid w:val="00C23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823</Words>
  <Characters>5046</Characters>
  <Application>Microsoft Office Word</Application>
  <DocSecurity>0</DocSecurity>
  <Lines>109</Lines>
  <Paragraphs>90</Paragraphs>
  <ScaleCrop>false</ScaleCrop>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Chantal Regan</cp:lastModifiedBy>
  <cp:revision>3</cp:revision>
  <dcterms:created xsi:type="dcterms:W3CDTF">2025-12-29T21:42:00Z</dcterms:created>
  <dcterms:modified xsi:type="dcterms:W3CDTF">2025-12-29T21:46:00Z</dcterms:modified>
</cp:coreProperties>
</file>