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58"/>
      </w:tblGrid>
      <w:tr w:rsidR="00C94FFE" w14:paraId="1E7703E7" w14:textId="77777777">
        <w:tblPrEx>
          <w:tblCellMar>
            <w:top w:w="0" w:type="dxa"/>
            <w:bottom w:w="0" w:type="dxa"/>
          </w:tblCellMar>
        </w:tblPrEx>
        <w:tc>
          <w:tcPr>
            <w:tcW w:w="9360" w:type="dxa"/>
            <w:tcBorders>
              <w:top w:val="single" w:sz="1" w:space="0" w:color="000000"/>
              <w:left w:val="single" w:sz="1" w:space="0" w:color="000000"/>
              <w:bottom w:val="single" w:sz="1" w:space="0" w:color="000000"/>
              <w:right w:val="single" w:sz="1" w:space="0" w:color="000000"/>
            </w:tcBorders>
            <w:shd w:val="clear" w:color="auto" w:fill="FFF2CC"/>
          </w:tcPr>
          <w:p w14:paraId="59372EF6" w14:textId="77777777" w:rsidR="00C94FFE" w:rsidRDefault="00000000">
            <w:pPr>
              <w:spacing w:before="120" w:after="120"/>
            </w:pPr>
            <w:r>
              <w:rPr>
                <w:b/>
                <w:bCs/>
                <w:sz w:val="22"/>
                <w:szCs w:val="22"/>
              </w:rPr>
              <w:t>DISCLAIMER</w:t>
            </w:r>
          </w:p>
          <w:p w14:paraId="351189AE" w14:textId="77777777" w:rsidR="00C94FFE" w:rsidRDefault="00000000">
            <w:pPr>
              <w:spacing w:after="120"/>
            </w:pPr>
            <w:r>
              <w:rPr>
                <w:sz w:val="20"/>
                <w:szCs w:val="20"/>
              </w:rPr>
              <w:t>This template is provided for informational and educational purposes only and does not constitute legal, tax, or accounting advice. The user of this document is solely responsible for:</w:t>
            </w:r>
          </w:p>
          <w:p w14:paraId="7CDBAAC7" w14:textId="77777777" w:rsidR="00C94FFE" w:rsidRDefault="00000000">
            <w:pPr>
              <w:pStyle w:val="ListParagraph"/>
              <w:numPr>
                <w:ilvl w:val="0"/>
                <w:numId w:val="2"/>
              </w:numPr>
            </w:pPr>
            <w:r>
              <w:rPr>
                <w:sz w:val="20"/>
                <w:szCs w:val="20"/>
              </w:rPr>
              <w:t>Reviewing and customizing this template to fit their specific business circumstances;</w:t>
            </w:r>
          </w:p>
          <w:p w14:paraId="12339AF1" w14:textId="77777777" w:rsidR="00C94FFE" w:rsidRDefault="00000000">
            <w:pPr>
              <w:pStyle w:val="ListParagraph"/>
              <w:numPr>
                <w:ilvl w:val="0"/>
                <w:numId w:val="2"/>
              </w:numPr>
            </w:pPr>
            <w:r>
              <w:rPr>
                <w:sz w:val="20"/>
                <w:szCs w:val="20"/>
              </w:rPr>
              <w:t>Ensuring compliance with all applicable federal, state, and local laws and regulations;</w:t>
            </w:r>
          </w:p>
          <w:p w14:paraId="60CBD2C3" w14:textId="77777777" w:rsidR="00C94FFE" w:rsidRDefault="00000000">
            <w:pPr>
              <w:pStyle w:val="ListParagraph"/>
              <w:numPr>
                <w:ilvl w:val="0"/>
                <w:numId w:val="2"/>
              </w:numPr>
            </w:pPr>
            <w:r>
              <w:rPr>
                <w:sz w:val="20"/>
                <w:szCs w:val="20"/>
              </w:rPr>
              <w:t>Consulting with a qualified attorney, CPA, or tax advisor before implementation;</w:t>
            </w:r>
          </w:p>
          <w:p w14:paraId="06615A0F" w14:textId="77777777" w:rsidR="00C94FFE" w:rsidRDefault="00000000">
            <w:pPr>
              <w:pStyle w:val="ListParagraph"/>
              <w:numPr>
                <w:ilvl w:val="0"/>
                <w:numId w:val="2"/>
              </w:numPr>
            </w:pPr>
            <w:r>
              <w:rPr>
                <w:sz w:val="20"/>
                <w:szCs w:val="20"/>
              </w:rPr>
              <w:t>Properly administering and enforcing the plan once adopted; and</w:t>
            </w:r>
          </w:p>
          <w:p w14:paraId="5FC8B568" w14:textId="77777777" w:rsidR="00C94FFE" w:rsidRDefault="00000000">
            <w:pPr>
              <w:pStyle w:val="ListParagraph"/>
              <w:numPr>
                <w:ilvl w:val="0"/>
                <w:numId w:val="2"/>
              </w:numPr>
            </w:pPr>
            <w:r>
              <w:rPr>
                <w:sz w:val="20"/>
                <w:szCs w:val="20"/>
              </w:rPr>
              <w:t>Maintaining all required documentation and records.</w:t>
            </w:r>
          </w:p>
          <w:p w14:paraId="31E44D52" w14:textId="77777777" w:rsidR="00C94FFE" w:rsidRDefault="00000000">
            <w:pPr>
              <w:spacing w:before="120" w:after="120"/>
            </w:pPr>
            <w:r>
              <w:rPr>
                <w:sz w:val="20"/>
                <w:szCs w:val="20"/>
              </w:rPr>
              <w:t>No preparer-client or attorney-client relationship is created by use of this template. The provider of this template assumes no liability for any errors, omissions, or outcomes resulting from its use.</w:t>
            </w:r>
          </w:p>
        </w:tc>
      </w:tr>
    </w:tbl>
    <w:p w14:paraId="0BD7645E" w14:textId="77777777" w:rsidR="00C94FFE" w:rsidRDefault="00000000">
      <w:pPr>
        <w:pStyle w:val="Title"/>
      </w:pPr>
      <w:r>
        <w:t>ACCOUNTABLE PLAN</w:t>
      </w:r>
    </w:p>
    <w:p w14:paraId="61322FD4" w14:textId="77777777" w:rsidR="00C94FFE" w:rsidRDefault="00000000">
      <w:pPr>
        <w:spacing w:after="120"/>
        <w:jc w:val="center"/>
      </w:pPr>
      <w:r>
        <w:rPr>
          <w:i/>
          <w:iCs/>
        </w:rPr>
        <w:t>For Reimbursement of Business Expenses</w:t>
      </w:r>
    </w:p>
    <w:p w14:paraId="5D61D55F" w14:textId="77777777" w:rsidR="00C94FFE" w:rsidRDefault="00000000">
      <w:pPr>
        <w:spacing w:after="120"/>
        <w:jc w:val="center"/>
      </w:pPr>
      <w:r>
        <w:rPr>
          <w:sz w:val="20"/>
          <w:szCs w:val="20"/>
        </w:rPr>
        <w:t>Under Internal Revenue Code Section 62(c) and Treasury Regulation § 1.62-2</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80"/>
        <w:gridCol w:w="6478"/>
      </w:tblGrid>
      <w:tr w:rsidR="00C94FFE" w14:paraId="72D64CFC" w14:textId="77777777">
        <w:tblPrEx>
          <w:tblCellMar>
            <w:top w:w="0" w:type="dxa"/>
            <w:bottom w:w="0" w:type="dxa"/>
          </w:tblCellMar>
        </w:tblPrEx>
        <w:tc>
          <w:tcPr>
            <w:tcW w:w="2880" w:type="dxa"/>
            <w:tcBorders>
              <w:top w:val="single" w:sz="1" w:space="0" w:color="000000"/>
              <w:left w:val="single" w:sz="1" w:space="0" w:color="000000"/>
              <w:bottom w:val="single" w:sz="1" w:space="0" w:color="000000"/>
              <w:right w:val="single" w:sz="1" w:space="0" w:color="000000"/>
            </w:tcBorders>
            <w:shd w:val="clear" w:color="auto" w:fill="E6E6E6"/>
          </w:tcPr>
          <w:p w14:paraId="0D4372EF" w14:textId="77777777" w:rsidR="00C94FFE" w:rsidRDefault="00000000">
            <w:r>
              <w:rPr>
                <w:b/>
                <w:bCs/>
              </w:rPr>
              <w:t>Business Name:</w:t>
            </w:r>
          </w:p>
        </w:tc>
        <w:tc>
          <w:tcPr>
            <w:tcW w:w="6480" w:type="dxa"/>
            <w:tcBorders>
              <w:top w:val="single" w:sz="1" w:space="0" w:color="000000"/>
              <w:left w:val="single" w:sz="1" w:space="0" w:color="000000"/>
              <w:bottom w:val="single" w:sz="1" w:space="0" w:color="000000"/>
              <w:right w:val="single" w:sz="1" w:space="0" w:color="000000"/>
            </w:tcBorders>
          </w:tcPr>
          <w:p w14:paraId="6F9CF0FF" w14:textId="77777777" w:rsidR="00C94FFE" w:rsidRDefault="00C94FFE"/>
        </w:tc>
      </w:tr>
      <w:tr w:rsidR="00C94FFE" w14:paraId="56A1D37F" w14:textId="77777777">
        <w:tblPrEx>
          <w:tblCellMar>
            <w:top w:w="0" w:type="dxa"/>
            <w:bottom w:w="0" w:type="dxa"/>
          </w:tblCellMar>
        </w:tblPrEx>
        <w:tc>
          <w:tcPr>
            <w:tcW w:w="2880" w:type="dxa"/>
            <w:tcBorders>
              <w:top w:val="single" w:sz="1" w:space="0" w:color="000000"/>
              <w:left w:val="single" w:sz="1" w:space="0" w:color="000000"/>
              <w:bottom w:val="single" w:sz="1" w:space="0" w:color="000000"/>
              <w:right w:val="single" w:sz="1" w:space="0" w:color="000000"/>
            </w:tcBorders>
            <w:shd w:val="clear" w:color="auto" w:fill="E6E6E6"/>
          </w:tcPr>
          <w:p w14:paraId="2254648C" w14:textId="77777777" w:rsidR="00C94FFE" w:rsidRDefault="00000000">
            <w:r>
              <w:rPr>
                <w:b/>
                <w:bCs/>
              </w:rPr>
              <w:t>EIN:</w:t>
            </w:r>
          </w:p>
        </w:tc>
        <w:tc>
          <w:tcPr>
            <w:tcW w:w="6480" w:type="dxa"/>
            <w:tcBorders>
              <w:top w:val="single" w:sz="1" w:space="0" w:color="000000"/>
              <w:left w:val="single" w:sz="1" w:space="0" w:color="000000"/>
              <w:bottom w:val="single" w:sz="1" w:space="0" w:color="000000"/>
              <w:right w:val="single" w:sz="1" w:space="0" w:color="000000"/>
            </w:tcBorders>
          </w:tcPr>
          <w:p w14:paraId="1AA21239" w14:textId="77777777" w:rsidR="00C94FFE" w:rsidRDefault="00C94FFE"/>
        </w:tc>
      </w:tr>
      <w:tr w:rsidR="00C94FFE" w14:paraId="107B2B24" w14:textId="77777777">
        <w:tblPrEx>
          <w:tblCellMar>
            <w:top w:w="0" w:type="dxa"/>
            <w:bottom w:w="0" w:type="dxa"/>
          </w:tblCellMar>
        </w:tblPrEx>
        <w:tc>
          <w:tcPr>
            <w:tcW w:w="2880" w:type="dxa"/>
            <w:tcBorders>
              <w:top w:val="single" w:sz="1" w:space="0" w:color="000000"/>
              <w:left w:val="single" w:sz="1" w:space="0" w:color="000000"/>
              <w:bottom w:val="single" w:sz="1" w:space="0" w:color="000000"/>
              <w:right w:val="single" w:sz="1" w:space="0" w:color="000000"/>
            </w:tcBorders>
            <w:shd w:val="clear" w:color="auto" w:fill="E6E6E6"/>
          </w:tcPr>
          <w:p w14:paraId="193B9138" w14:textId="77777777" w:rsidR="00C94FFE" w:rsidRDefault="00000000">
            <w:r>
              <w:rPr>
                <w:b/>
                <w:bCs/>
              </w:rPr>
              <w:t>Effective Date:</w:t>
            </w:r>
          </w:p>
        </w:tc>
        <w:tc>
          <w:tcPr>
            <w:tcW w:w="6480" w:type="dxa"/>
            <w:tcBorders>
              <w:top w:val="single" w:sz="1" w:space="0" w:color="000000"/>
              <w:left w:val="single" w:sz="1" w:space="0" w:color="000000"/>
              <w:bottom w:val="single" w:sz="1" w:space="0" w:color="000000"/>
              <w:right w:val="single" w:sz="1" w:space="0" w:color="000000"/>
            </w:tcBorders>
          </w:tcPr>
          <w:p w14:paraId="1D3EE245" w14:textId="77777777" w:rsidR="00C94FFE" w:rsidRDefault="00C94FFE"/>
        </w:tc>
      </w:tr>
    </w:tbl>
    <w:p w14:paraId="6032AEC9" w14:textId="77777777" w:rsidR="00C94FFE" w:rsidRDefault="00C94FFE">
      <w:pPr>
        <w:spacing w:after="240"/>
      </w:pPr>
    </w:p>
    <w:p w14:paraId="13684364" w14:textId="77777777" w:rsidR="00C94FFE" w:rsidRDefault="00000000">
      <w:pPr>
        <w:pStyle w:val="Heading1"/>
      </w:pPr>
      <w:r>
        <w:t>1. PURPOSE</w:t>
      </w:r>
    </w:p>
    <w:p w14:paraId="21EE1C29" w14:textId="77777777" w:rsidR="00C94FFE" w:rsidRDefault="00000000">
      <w:pPr>
        <w:spacing w:after="200"/>
      </w:pPr>
      <w:r>
        <w:t>This Accountable Plan (the "Plan") is established to reimburse employees for ordinary and necessary business expenses incurred on behalf of the Company. This Plan is intended to comply with the requirements of Internal Revenue Code Section 62(c) and Treasury Regulation § 1.62-2, so that reimbursements made under this Plan are excluded from employees' gross income and are not subject to federal income tax withholding, Social Security, Medicare, or FUTA taxes.</w:t>
      </w:r>
    </w:p>
    <w:p w14:paraId="46BB19A6" w14:textId="77777777" w:rsidR="00C94FFE" w:rsidRDefault="00000000">
      <w:pPr>
        <w:pStyle w:val="Heading1"/>
      </w:pPr>
      <w:r>
        <w:t>2. ELIGIBLE PARTICIPANTS</w:t>
      </w:r>
    </w:p>
    <w:p w14:paraId="12D3DD75" w14:textId="77777777" w:rsidR="00C94FFE" w:rsidRDefault="00000000">
      <w:pPr>
        <w:spacing w:after="120"/>
      </w:pPr>
      <w:r>
        <w:t>This Plan applies to all employees of the Company, including:</w:t>
      </w:r>
    </w:p>
    <w:p w14:paraId="64E39769" w14:textId="77777777" w:rsidR="00C94FFE" w:rsidRDefault="00000000">
      <w:pPr>
        <w:pStyle w:val="ListParagraph"/>
        <w:numPr>
          <w:ilvl w:val="0"/>
          <w:numId w:val="2"/>
        </w:numPr>
      </w:pPr>
      <w:r>
        <w:t>Full-time and part-time employees</w:t>
      </w:r>
    </w:p>
    <w:p w14:paraId="0A34830B" w14:textId="77777777" w:rsidR="00C94FFE" w:rsidRDefault="00000000">
      <w:pPr>
        <w:pStyle w:val="ListParagraph"/>
        <w:numPr>
          <w:ilvl w:val="0"/>
          <w:numId w:val="2"/>
        </w:numPr>
      </w:pPr>
      <w:r>
        <w:t>Officers and directors who are also employees</w:t>
      </w:r>
    </w:p>
    <w:p w14:paraId="1B94060E" w14:textId="77777777" w:rsidR="00C94FFE" w:rsidRDefault="00000000">
      <w:pPr>
        <w:pStyle w:val="ListParagraph"/>
        <w:numPr>
          <w:ilvl w:val="0"/>
          <w:numId w:val="2"/>
        </w:numPr>
        <w:spacing w:after="200"/>
      </w:pPr>
      <w:r>
        <w:t>Shareholders who are also employees (including S corporation shareholder-employees)</w:t>
      </w:r>
    </w:p>
    <w:p w14:paraId="18B8FE63" w14:textId="77777777" w:rsidR="00C94FFE" w:rsidRDefault="00000000">
      <w:pPr>
        <w:pStyle w:val="Heading1"/>
      </w:pPr>
      <w:r>
        <w:t>3. REQUIREMENTS FOR REIMBURSEMENT</w:t>
      </w:r>
    </w:p>
    <w:p w14:paraId="0C03D164" w14:textId="77777777" w:rsidR="00C94FFE" w:rsidRDefault="00000000">
      <w:pPr>
        <w:spacing w:after="120"/>
      </w:pPr>
      <w:r>
        <w:t>To qualify for tax-free reimbursement under this Plan, all three of the following requirements must be met:</w:t>
      </w:r>
    </w:p>
    <w:p w14:paraId="0984B05D" w14:textId="77777777" w:rsidR="00C94FFE" w:rsidRDefault="00000000">
      <w:pPr>
        <w:pStyle w:val="Heading2"/>
      </w:pPr>
      <w:r>
        <w:t>3.1 Business Connection</w:t>
      </w:r>
    </w:p>
    <w:p w14:paraId="426E9AC1" w14:textId="77777777" w:rsidR="00C94FFE" w:rsidRDefault="00000000">
      <w:pPr>
        <w:spacing w:after="120"/>
      </w:pPr>
      <w:r>
        <w:t>The expense must be a deductible business expense incurred in connection with the performance of services as an employee of the Company. Expenses must be ordinary (common and accepted in the trade or business) and necessary (helpful and appropriate for the business).</w:t>
      </w:r>
    </w:p>
    <w:p w14:paraId="2833B615" w14:textId="77777777" w:rsidR="00C94FFE" w:rsidRDefault="00000000">
      <w:pPr>
        <w:pStyle w:val="Heading2"/>
      </w:pPr>
      <w:r>
        <w:t>3.2 Substantiation</w:t>
      </w:r>
    </w:p>
    <w:p w14:paraId="62DD008B" w14:textId="77777777" w:rsidR="00C94FFE" w:rsidRDefault="00000000">
      <w:pPr>
        <w:spacing w:after="120"/>
      </w:pPr>
      <w:r>
        <w:lastRenderedPageBreak/>
        <w:t>The employee must adequately substantiate the expense to the Company within a reasonable period of time. Substantiation must include:</w:t>
      </w:r>
    </w:p>
    <w:p w14:paraId="536AC82F" w14:textId="77777777" w:rsidR="00C94FFE" w:rsidRDefault="00000000">
      <w:pPr>
        <w:pStyle w:val="ListParagraph"/>
        <w:numPr>
          <w:ilvl w:val="0"/>
          <w:numId w:val="3"/>
        </w:numPr>
      </w:pPr>
      <w:r>
        <w:rPr>
          <w:b/>
          <w:bCs/>
        </w:rPr>
        <w:t xml:space="preserve">Amount: </w:t>
      </w:r>
      <w:r>
        <w:t>The exact dollar amount of each expense;</w:t>
      </w:r>
    </w:p>
    <w:p w14:paraId="428E9E4C" w14:textId="77777777" w:rsidR="00C94FFE" w:rsidRDefault="00000000">
      <w:pPr>
        <w:pStyle w:val="ListParagraph"/>
        <w:numPr>
          <w:ilvl w:val="0"/>
          <w:numId w:val="3"/>
        </w:numPr>
      </w:pPr>
      <w:r>
        <w:rPr>
          <w:b/>
          <w:bCs/>
        </w:rPr>
        <w:t xml:space="preserve">Time: </w:t>
      </w:r>
      <w:r>
        <w:t>The date the expense was incurred;</w:t>
      </w:r>
    </w:p>
    <w:p w14:paraId="745BA0AC" w14:textId="77777777" w:rsidR="00C94FFE" w:rsidRDefault="00000000">
      <w:pPr>
        <w:pStyle w:val="ListParagraph"/>
        <w:numPr>
          <w:ilvl w:val="0"/>
          <w:numId w:val="3"/>
        </w:numPr>
      </w:pPr>
      <w:r>
        <w:rPr>
          <w:b/>
          <w:bCs/>
        </w:rPr>
        <w:t xml:space="preserve">Place: </w:t>
      </w:r>
      <w:r>
        <w:t>Where the expense was incurred (for travel and entertainment);</w:t>
      </w:r>
    </w:p>
    <w:p w14:paraId="7A2FE93B" w14:textId="77777777" w:rsidR="00C94FFE" w:rsidRDefault="00000000">
      <w:pPr>
        <w:pStyle w:val="ListParagraph"/>
        <w:numPr>
          <w:ilvl w:val="0"/>
          <w:numId w:val="3"/>
        </w:numPr>
        <w:spacing w:after="120"/>
      </w:pPr>
      <w:r>
        <w:rPr>
          <w:b/>
          <w:bCs/>
        </w:rPr>
        <w:t xml:space="preserve">Business Purpose: </w:t>
      </w:r>
      <w:r>
        <w:t>The business reason for the expense and, for entertainment, the business relationship of the persons entertained.</w:t>
      </w:r>
    </w:p>
    <w:p w14:paraId="1B137B4A" w14:textId="77777777" w:rsidR="00C94FFE" w:rsidRDefault="00000000">
      <w:pPr>
        <w:spacing w:after="120"/>
      </w:pPr>
      <w:r>
        <w:t>Documentary evidence (receipts, invoices, etc.) is required for all expenses of $75 or more and for all lodging expenses regardless of amount.</w:t>
      </w:r>
    </w:p>
    <w:p w14:paraId="556D8D4A" w14:textId="77777777" w:rsidR="00C94FFE" w:rsidRDefault="00000000">
      <w:pPr>
        <w:pStyle w:val="Heading2"/>
      </w:pPr>
      <w:r>
        <w:t>3.3 Return of Excess</w:t>
      </w:r>
    </w:p>
    <w:p w14:paraId="66D22DB1" w14:textId="77777777" w:rsidR="00C94FFE" w:rsidRDefault="00000000">
      <w:pPr>
        <w:spacing w:after="200"/>
      </w:pPr>
      <w:r>
        <w:t>Any amounts received in excess of substantiated expenses must be returned to the Company within a reasonable period of time.</w:t>
      </w:r>
    </w:p>
    <w:p w14:paraId="282FC907" w14:textId="77777777" w:rsidR="00C94FFE" w:rsidRDefault="00000000">
      <w:pPr>
        <w:pStyle w:val="Heading1"/>
      </w:pPr>
      <w:r>
        <w:t>4. REASONABLE PERIOD OF TIME</w:t>
      </w:r>
    </w:p>
    <w:p w14:paraId="4C3FD055" w14:textId="77777777" w:rsidR="00C94FFE" w:rsidRDefault="00000000">
      <w:pPr>
        <w:spacing w:after="120"/>
      </w:pPr>
      <w:r>
        <w:t>For purposes of this Plan, the following timeframes are considered reasonable and must be followed:</w:t>
      </w:r>
    </w:p>
    <w:p w14:paraId="47282EF6" w14:textId="77777777" w:rsidR="00C94FFE" w:rsidRDefault="00000000">
      <w:pPr>
        <w:pStyle w:val="ListParagraph"/>
        <w:numPr>
          <w:ilvl w:val="0"/>
          <w:numId w:val="2"/>
        </w:numPr>
      </w:pPr>
      <w:r>
        <w:rPr>
          <w:b/>
          <w:bCs/>
        </w:rPr>
        <w:t xml:space="preserve">Advances: </w:t>
      </w:r>
      <w:r>
        <w:t>Advance payments must be made within 30 days of when the expense is expected to be incurred.</w:t>
      </w:r>
    </w:p>
    <w:p w14:paraId="6B9E644A" w14:textId="77777777" w:rsidR="00C94FFE" w:rsidRDefault="00000000">
      <w:pPr>
        <w:pStyle w:val="ListParagraph"/>
        <w:numPr>
          <w:ilvl w:val="0"/>
          <w:numId w:val="2"/>
        </w:numPr>
      </w:pPr>
      <w:r>
        <w:rPr>
          <w:b/>
          <w:bCs/>
        </w:rPr>
        <w:t xml:space="preserve">Substantiation: </w:t>
      </w:r>
      <w:r>
        <w:t>Expenses must be substantiated within 60 days after they are paid or incurred.</w:t>
      </w:r>
    </w:p>
    <w:p w14:paraId="367A4B51" w14:textId="77777777" w:rsidR="00C94FFE" w:rsidRDefault="00000000">
      <w:pPr>
        <w:pStyle w:val="ListParagraph"/>
        <w:numPr>
          <w:ilvl w:val="0"/>
          <w:numId w:val="2"/>
        </w:numPr>
        <w:spacing w:after="200"/>
      </w:pPr>
      <w:r>
        <w:rPr>
          <w:b/>
          <w:bCs/>
        </w:rPr>
        <w:t xml:space="preserve">Return of Excess: </w:t>
      </w:r>
      <w:r>
        <w:t>Any excess amounts must be returned within 120 days after the expense is paid or incurred.</w:t>
      </w:r>
    </w:p>
    <w:p w14:paraId="0CA83394" w14:textId="77777777" w:rsidR="00C94FFE" w:rsidRDefault="00000000">
      <w:pPr>
        <w:pStyle w:val="Heading1"/>
      </w:pPr>
      <w:r>
        <w:t>5. REIMBURSABLE EXPENSES</w:t>
      </w:r>
    </w:p>
    <w:p w14:paraId="2BCF5D61" w14:textId="77777777" w:rsidR="00C94FFE" w:rsidRDefault="00000000">
      <w:pPr>
        <w:spacing w:after="120"/>
      </w:pPr>
      <w:r>
        <w:t>The following types of business expenses are eligible for reimbursement under this Plan, provided they meet the requirements above:</w:t>
      </w:r>
    </w:p>
    <w:p w14:paraId="4D3E16F2" w14:textId="77777777" w:rsidR="00C94FFE" w:rsidRDefault="00000000">
      <w:pPr>
        <w:pStyle w:val="ListParagraph"/>
        <w:numPr>
          <w:ilvl w:val="0"/>
          <w:numId w:val="2"/>
        </w:numPr>
      </w:pPr>
      <w:r>
        <w:t>Business travel (transportation, lodging, meals while traveling)</w:t>
      </w:r>
    </w:p>
    <w:p w14:paraId="62033168" w14:textId="77777777" w:rsidR="00C94FFE" w:rsidRDefault="00000000">
      <w:pPr>
        <w:pStyle w:val="ListParagraph"/>
        <w:numPr>
          <w:ilvl w:val="0"/>
          <w:numId w:val="2"/>
        </w:numPr>
      </w:pPr>
      <w:r>
        <w:t>Business use of personal vehicle (at the IRS standard mileage rate)</w:t>
      </w:r>
    </w:p>
    <w:p w14:paraId="2F8B4769" w14:textId="77777777" w:rsidR="00C94FFE" w:rsidRDefault="00000000">
      <w:pPr>
        <w:pStyle w:val="ListParagraph"/>
        <w:numPr>
          <w:ilvl w:val="0"/>
          <w:numId w:val="2"/>
        </w:numPr>
      </w:pPr>
      <w:r>
        <w:t>Business meals (subject to 50% limitation at Company level)</w:t>
      </w:r>
    </w:p>
    <w:p w14:paraId="0D3F5ED0" w14:textId="77777777" w:rsidR="00C94FFE" w:rsidRDefault="00000000">
      <w:pPr>
        <w:pStyle w:val="ListParagraph"/>
        <w:numPr>
          <w:ilvl w:val="0"/>
          <w:numId w:val="2"/>
        </w:numPr>
      </w:pPr>
      <w:r>
        <w:t>Professional dues and subscriptions</w:t>
      </w:r>
    </w:p>
    <w:p w14:paraId="532518F8" w14:textId="77777777" w:rsidR="00C94FFE" w:rsidRDefault="00000000">
      <w:pPr>
        <w:pStyle w:val="ListParagraph"/>
        <w:numPr>
          <w:ilvl w:val="0"/>
          <w:numId w:val="2"/>
        </w:numPr>
      </w:pPr>
      <w:r>
        <w:t>Continuing education and professional development</w:t>
      </w:r>
    </w:p>
    <w:p w14:paraId="513BBFE7" w14:textId="77777777" w:rsidR="00C94FFE" w:rsidRDefault="00000000">
      <w:pPr>
        <w:pStyle w:val="ListParagraph"/>
        <w:numPr>
          <w:ilvl w:val="0"/>
          <w:numId w:val="2"/>
        </w:numPr>
      </w:pPr>
      <w:r>
        <w:t>Business supplies and materials</w:t>
      </w:r>
    </w:p>
    <w:p w14:paraId="7C3DEAA3" w14:textId="77777777" w:rsidR="00C94FFE" w:rsidRDefault="00000000">
      <w:pPr>
        <w:pStyle w:val="ListParagraph"/>
        <w:numPr>
          <w:ilvl w:val="0"/>
          <w:numId w:val="2"/>
        </w:numPr>
      </w:pPr>
      <w:r>
        <w:t>Business use of cell phone and internet</w:t>
      </w:r>
    </w:p>
    <w:p w14:paraId="6E5F7ABB" w14:textId="77777777" w:rsidR="00C94FFE" w:rsidRDefault="00000000">
      <w:pPr>
        <w:pStyle w:val="ListParagraph"/>
        <w:numPr>
          <w:ilvl w:val="0"/>
          <w:numId w:val="2"/>
        </w:numPr>
      </w:pPr>
      <w:r>
        <w:t>Home office expenses (if applicable)</w:t>
      </w:r>
    </w:p>
    <w:p w14:paraId="5FF43A2A" w14:textId="77777777" w:rsidR="00C94FFE" w:rsidRDefault="00000000">
      <w:pPr>
        <w:pStyle w:val="ListParagraph"/>
        <w:numPr>
          <w:ilvl w:val="0"/>
          <w:numId w:val="2"/>
        </w:numPr>
        <w:spacing w:after="200"/>
      </w:pPr>
      <w:r>
        <w:t>Other ordinary and necessary business expenses approved by the Company</w:t>
      </w:r>
    </w:p>
    <w:p w14:paraId="37683C31" w14:textId="77777777" w:rsidR="00C94FFE" w:rsidRDefault="00000000">
      <w:pPr>
        <w:pStyle w:val="Heading1"/>
      </w:pPr>
      <w:r>
        <w:t>6. MILEAGE REIMBURSEMENT</w:t>
      </w:r>
    </w:p>
    <w:p w14:paraId="34DA02F6" w14:textId="77777777" w:rsidR="00C94FFE" w:rsidRDefault="00000000">
      <w:pPr>
        <w:spacing w:after="200"/>
      </w:pPr>
      <w:r>
        <w:t>Employees using their personal vehicle for business purposes will be reimbursed at the IRS standard mileage rate in effect at the time the expense is incurred. Commuting expenses (travel between home and regular place of work) are not reimbursable. Employees must maintain a mileage log documenting the date, destination, business purpose, and miles driven for each business trip.</w:t>
      </w:r>
    </w:p>
    <w:p w14:paraId="2AB06512" w14:textId="77777777" w:rsidR="00C94FFE" w:rsidRDefault="00000000">
      <w:pPr>
        <w:pStyle w:val="Heading1"/>
      </w:pPr>
      <w:r>
        <w:lastRenderedPageBreak/>
        <w:t>7. EXPENSE REPORT PROCEDURES</w:t>
      </w:r>
    </w:p>
    <w:p w14:paraId="4C2224E0" w14:textId="77777777" w:rsidR="00C94FFE" w:rsidRDefault="00000000">
      <w:pPr>
        <w:spacing w:after="120"/>
      </w:pPr>
      <w:r>
        <w:t>To request reimbursement, employees must:</w:t>
      </w:r>
    </w:p>
    <w:p w14:paraId="54ED8E33" w14:textId="77777777" w:rsidR="00C94FFE" w:rsidRDefault="00000000">
      <w:pPr>
        <w:pStyle w:val="ListParagraph"/>
        <w:numPr>
          <w:ilvl w:val="0"/>
          <w:numId w:val="4"/>
        </w:numPr>
      </w:pPr>
      <w:r>
        <w:t>Complete an Expense Report form provided by the Company;</w:t>
      </w:r>
    </w:p>
    <w:p w14:paraId="387518CA" w14:textId="77777777" w:rsidR="00C94FFE" w:rsidRDefault="00000000">
      <w:pPr>
        <w:pStyle w:val="ListParagraph"/>
        <w:numPr>
          <w:ilvl w:val="0"/>
          <w:numId w:val="4"/>
        </w:numPr>
      </w:pPr>
      <w:r>
        <w:t>Attach all required receipts and documentation;</w:t>
      </w:r>
    </w:p>
    <w:p w14:paraId="7F44C430" w14:textId="77777777" w:rsidR="00C94FFE" w:rsidRDefault="00000000">
      <w:pPr>
        <w:pStyle w:val="ListParagraph"/>
        <w:numPr>
          <w:ilvl w:val="0"/>
          <w:numId w:val="4"/>
        </w:numPr>
      </w:pPr>
      <w:r>
        <w:t>Provide a clear business purpose for each expense;</w:t>
      </w:r>
    </w:p>
    <w:p w14:paraId="0C27583B" w14:textId="77777777" w:rsidR="00C94FFE" w:rsidRDefault="00000000">
      <w:pPr>
        <w:pStyle w:val="ListParagraph"/>
        <w:numPr>
          <w:ilvl w:val="0"/>
          <w:numId w:val="4"/>
        </w:numPr>
      </w:pPr>
      <w:r>
        <w:t>Submit the report to their supervisor or designated approver; and</w:t>
      </w:r>
    </w:p>
    <w:p w14:paraId="5C708D66" w14:textId="77777777" w:rsidR="00C94FFE" w:rsidRDefault="00000000">
      <w:pPr>
        <w:pStyle w:val="ListParagraph"/>
        <w:numPr>
          <w:ilvl w:val="0"/>
          <w:numId w:val="4"/>
        </w:numPr>
        <w:spacing w:after="200"/>
      </w:pPr>
      <w:r>
        <w:t>Submit the report within 60 days of incurring the expense.</w:t>
      </w:r>
    </w:p>
    <w:p w14:paraId="64ED6435" w14:textId="77777777" w:rsidR="00C94FFE" w:rsidRDefault="00000000">
      <w:pPr>
        <w:pStyle w:val="Heading1"/>
      </w:pPr>
      <w:r>
        <w:t>8. FAILURE TO COMPLY</w:t>
      </w:r>
    </w:p>
    <w:p w14:paraId="022A4383" w14:textId="77777777" w:rsidR="00C94FFE" w:rsidRDefault="00000000">
      <w:pPr>
        <w:spacing w:after="200"/>
      </w:pPr>
      <w:r>
        <w:t>If an employee fails to substantiate expenses within 60 days or fails to return excess advances within 120 days, the unsubstantiated or unreturned amounts will be treated as taxable wages. The Company will include such amounts in the employee's gross income and withhold all applicable taxes.</w:t>
      </w:r>
    </w:p>
    <w:p w14:paraId="2A6CAE8A" w14:textId="77777777" w:rsidR="00C94FFE" w:rsidRDefault="00000000">
      <w:pPr>
        <w:pStyle w:val="Heading1"/>
      </w:pPr>
      <w:r>
        <w:t>9. RECORDKEEPING</w:t>
      </w:r>
    </w:p>
    <w:p w14:paraId="2670B596" w14:textId="77777777" w:rsidR="00C94FFE" w:rsidRDefault="00000000">
      <w:pPr>
        <w:spacing w:after="200"/>
      </w:pPr>
      <w:r>
        <w:t>The Company will maintain records of all expense reports, receipts, and reimbursements for a minimum of seven (7) years. Employees should also retain copies of their expense documentation for their personal records.</w:t>
      </w:r>
    </w:p>
    <w:p w14:paraId="4CF2F09E" w14:textId="77777777" w:rsidR="00C94FFE" w:rsidRDefault="00000000">
      <w:pPr>
        <w:pStyle w:val="Heading1"/>
      </w:pPr>
      <w:r>
        <w:t>10. AMENDMENT AND TERMINATION</w:t>
      </w:r>
    </w:p>
    <w:p w14:paraId="1F05AEEC" w14:textId="77777777" w:rsidR="00C94FFE" w:rsidRDefault="00000000">
      <w:pPr>
        <w:spacing w:after="200"/>
      </w:pPr>
      <w:r>
        <w:t>The Company reserves the right to amend, modify, or terminate this Plan at any time, with or without notice to employees. Any such changes will be communicated in writing.</w:t>
      </w:r>
    </w:p>
    <w:p w14:paraId="38145F30" w14:textId="77777777" w:rsidR="00C94FFE" w:rsidRDefault="00000000">
      <w:pPr>
        <w:pStyle w:val="Heading1"/>
      </w:pPr>
      <w:r>
        <w:t>11. ADOPTION</w:t>
      </w:r>
    </w:p>
    <w:p w14:paraId="00948AE9" w14:textId="77777777" w:rsidR="00C94FFE" w:rsidRDefault="00000000">
      <w:pPr>
        <w:spacing w:after="360"/>
      </w:pPr>
      <w:r>
        <w:t>This Plan is hereby adopted by the undersigned authorized representative of the Company, effective as of the date stated above.</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94FFE" w14:paraId="41A3C48F" w14:textId="77777777">
        <w:tblPrEx>
          <w:tblCellMar>
            <w:top w:w="0" w:type="dxa"/>
            <w:bottom w:w="0" w:type="dxa"/>
          </w:tblCellMar>
        </w:tblPrEx>
        <w:tc>
          <w:tcPr>
            <w:tcW w:w="4680" w:type="dxa"/>
            <w:tcBorders>
              <w:top w:val="nil"/>
              <w:left w:val="nil"/>
              <w:bottom w:val="nil"/>
              <w:right w:val="nil"/>
            </w:tcBorders>
          </w:tcPr>
          <w:p w14:paraId="5DA1B148" w14:textId="77777777" w:rsidR="00C94FFE" w:rsidRDefault="00000000">
            <w:r>
              <w:t>_________________________________</w:t>
            </w:r>
          </w:p>
          <w:p w14:paraId="1F1B108B" w14:textId="77777777" w:rsidR="00C94FFE" w:rsidRDefault="00000000">
            <w:r>
              <w:t>Signature of Authorized Officer</w:t>
            </w:r>
          </w:p>
          <w:p w14:paraId="6C566D53" w14:textId="77777777" w:rsidR="00C94FFE" w:rsidRDefault="00C94FFE">
            <w:pPr>
              <w:spacing w:after="200"/>
            </w:pPr>
          </w:p>
          <w:p w14:paraId="4AACF845" w14:textId="77777777" w:rsidR="00C94FFE" w:rsidRDefault="00000000">
            <w:r>
              <w:t>_________________________________</w:t>
            </w:r>
          </w:p>
          <w:p w14:paraId="68BD574A" w14:textId="77777777" w:rsidR="00C94FFE" w:rsidRDefault="00000000">
            <w:r>
              <w:t>Printed Name</w:t>
            </w:r>
          </w:p>
        </w:tc>
        <w:tc>
          <w:tcPr>
            <w:tcW w:w="4680" w:type="dxa"/>
            <w:tcBorders>
              <w:top w:val="nil"/>
              <w:left w:val="nil"/>
              <w:bottom w:val="nil"/>
              <w:right w:val="nil"/>
            </w:tcBorders>
          </w:tcPr>
          <w:p w14:paraId="42CAA51F" w14:textId="77777777" w:rsidR="00C94FFE" w:rsidRDefault="00000000">
            <w:r>
              <w:t>_________________________________</w:t>
            </w:r>
          </w:p>
          <w:p w14:paraId="732D7E09" w14:textId="77777777" w:rsidR="00C94FFE" w:rsidRDefault="00000000">
            <w:r>
              <w:t>Title</w:t>
            </w:r>
          </w:p>
          <w:p w14:paraId="33490F10" w14:textId="77777777" w:rsidR="00C94FFE" w:rsidRDefault="00C94FFE">
            <w:pPr>
              <w:spacing w:after="200"/>
            </w:pPr>
          </w:p>
          <w:p w14:paraId="14D3B2F4" w14:textId="77777777" w:rsidR="00C94FFE" w:rsidRDefault="00000000">
            <w:r>
              <w:t>_________________________________</w:t>
            </w:r>
          </w:p>
          <w:p w14:paraId="188501D3" w14:textId="77777777" w:rsidR="00C94FFE" w:rsidRDefault="00000000">
            <w:r>
              <w:t>Date</w:t>
            </w:r>
          </w:p>
        </w:tc>
      </w:tr>
    </w:tbl>
    <w:p w14:paraId="38EDB784" w14:textId="77777777" w:rsidR="00C94FFE" w:rsidRDefault="00000000">
      <w:pPr>
        <w:pStyle w:val="Heading1"/>
      </w:pPr>
      <w:r>
        <w:t>EMPLOYEE ACKNOWLEDGMENT</w:t>
      </w:r>
    </w:p>
    <w:p w14:paraId="12A6093D" w14:textId="77777777" w:rsidR="00C94FFE" w:rsidRDefault="00000000">
      <w:pPr>
        <w:spacing w:after="200"/>
      </w:pPr>
      <w:r>
        <w:t>I acknowledge that I have received and read the Company's Accountable Plan. I understand the requirements for reimbursement, including the obligations to substantiate expenses within 60 days and return any excess amounts within 120 days. I agree to comply with all provisions of this Plan.</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C94FFE" w14:paraId="2C1E3008" w14:textId="77777777">
        <w:tblPrEx>
          <w:tblCellMar>
            <w:top w:w="0" w:type="dxa"/>
            <w:bottom w:w="0" w:type="dxa"/>
          </w:tblCellMar>
        </w:tblPrEx>
        <w:tc>
          <w:tcPr>
            <w:tcW w:w="4680" w:type="dxa"/>
            <w:tcBorders>
              <w:top w:val="nil"/>
              <w:left w:val="nil"/>
              <w:bottom w:val="nil"/>
              <w:right w:val="nil"/>
            </w:tcBorders>
          </w:tcPr>
          <w:p w14:paraId="06BD2B2D" w14:textId="77777777" w:rsidR="00C94FFE" w:rsidRDefault="00000000">
            <w:r>
              <w:t>_________________________________</w:t>
            </w:r>
          </w:p>
          <w:p w14:paraId="222E11CD" w14:textId="77777777" w:rsidR="00C94FFE" w:rsidRDefault="00000000">
            <w:r>
              <w:t>Employee Signature</w:t>
            </w:r>
          </w:p>
          <w:p w14:paraId="5C6D9EA4" w14:textId="77777777" w:rsidR="00C94FFE" w:rsidRDefault="00C94FFE">
            <w:pPr>
              <w:spacing w:after="200"/>
            </w:pPr>
          </w:p>
          <w:p w14:paraId="746BEA1E" w14:textId="77777777" w:rsidR="00C94FFE" w:rsidRDefault="00000000">
            <w:r>
              <w:t>_________________________________</w:t>
            </w:r>
          </w:p>
          <w:p w14:paraId="6B017A5B" w14:textId="77777777" w:rsidR="00C94FFE" w:rsidRDefault="00000000">
            <w:r>
              <w:lastRenderedPageBreak/>
              <w:t>Printed Name</w:t>
            </w:r>
          </w:p>
        </w:tc>
        <w:tc>
          <w:tcPr>
            <w:tcW w:w="4680" w:type="dxa"/>
            <w:tcBorders>
              <w:top w:val="nil"/>
              <w:left w:val="nil"/>
              <w:bottom w:val="nil"/>
              <w:right w:val="nil"/>
            </w:tcBorders>
          </w:tcPr>
          <w:p w14:paraId="32BFDFD5" w14:textId="77777777" w:rsidR="00C94FFE" w:rsidRDefault="00C94FFE">
            <w:pPr>
              <w:spacing w:after="200"/>
            </w:pPr>
          </w:p>
          <w:p w14:paraId="05FAC214" w14:textId="77777777" w:rsidR="00C94FFE" w:rsidRDefault="00C94FFE">
            <w:pPr>
              <w:spacing w:after="200"/>
            </w:pPr>
          </w:p>
          <w:p w14:paraId="7FF4289E" w14:textId="77777777" w:rsidR="00C94FFE" w:rsidRDefault="00C94FFE">
            <w:pPr>
              <w:spacing w:after="200"/>
            </w:pPr>
          </w:p>
          <w:p w14:paraId="54C72DCF" w14:textId="77777777" w:rsidR="00C94FFE" w:rsidRDefault="00000000">
            <w:r>
              <w:t>_________________________________</w:t>
            </w:r>
          </w:p>
          <w:p w14:paraId="78353424" w14:textId="77777777" w:rsidR="00C94FFE" w:rsidRDefault="00000000">
            <w:r>
              <w:t>Date</w:t>
            </w:r>
          </w:p>
        </w:tc>
      </w:tr>
    </w:tbl>
    <w:p w14:paraId="1D256C90" w14:textId="77777777" w:rsidR="005D630E" w:rsidRDefault="005D630E"/>
    <w:sectPr w:rsidR="005D630E" w:rsidSect="0053125B">
      <w:footerReference w:type="default" r:id="rId7"/>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94FA" w14:textId="77777777" w:rsidR="005D630E" w:rsidRDefault="005D630E" w:rsidP="0053125B">
      <w:r>
        <w:separator/>
      </w:r>
    </w:p>
  </w:endnote>
  <w:endnote w:type="continuationSeparator" w:id="0">
    <w:p w14:paraId="3C0FD6D9" w14:textId="77777777" w:rsidR="005D630E" w:rsidRDefault="005D630E" w:rsidP="0053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921354"/>
      <w:docPartObj>
        <w:docPartGallery w:val="Page Numbers (Bottom of Page)"/>
        <w:docPartUnique/>
      </w:docPartObj>
    </w:sdtPr>
    <w:sdtContent>
      <w:sdt>
        <w:sdtPr>
          <w:id w:val="-1769616900"/>
          <w:docPartObj>
            <w:docPartGallery w:val="Page Numbers (Top of Page)"/>
            <w:docPartUnique/>
          </w:docPartObj>
        </w:sdtPr>
        <w:sdtContent>
          <w:p w14:paraId="68B36DE7" w14:textId="00AE810A" w:rsidR="0053125B" w:rsidRPr="0053125B" w:rsidRDefault="0053125B">
            <w:pPr>
              <w:pStyle w:val="Footer"/>
              <w:jc w:val="right"/>
            </w:pPr>
            <w:r w:rsidRPr="0053125B">
              <w:t xml:space="preserve">Page </w:t>
            </w:r>
            <w:r w:rsidRPr="0053125B">
              <w:fldChar w:fldCharType="begin"/>
            </w:r>
            <w:r w:rsidRPr="0053125B">
              <w:instrText xml:space="preserve"> PAGE </w:instrText>
            </w:r>
            <w:r w:rsidRPr="0053125B">
              <w:fldChar w:fldCharType="separate"/>
            </w:r>
            <w:r w:rsidRPr="0053125B">
              <w:rPr>
                <w:noProof/>
              </w:rPr>
              <w:t>2</w:t>
            </w:r>
            <w:r w:rsidRPr="0053125B">
              <w:fldChar w:fldCharType="end"/>
            </w:r>
            <w:r w:rsidRPr="0053125B">
              <w:t xml:space="preserve"> of </w:t>
            </w:r>
            <w:fldSimple w:instr=" NUMPAGES  ">
              <w:r w:rsidRPr="0053125B">
                <w:rPr>
                  <w:noProof/>
                </w:rPr>
                <w:t>2</w:t>
              </w:r>
            </w:fldSimple>
          </w:p>
        </w:sdtContent>
      </w:sdt>
    </w:sdtContent>
  </w:sdt>
  <w:p w14:paraId="7BF7A4E9" w14:textId="77777777" w:rsidR="0053125B" w:rsidRPr="0053125B" w:rsidRDefault="00531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AAFBF" w14:textId="77777777" w:rsidR="005D630E" w:rsidRDefault="005D630E" w:rsidP="0053125B">
      <w:r>
        <w:separator/>
      </w:r>
    </w:p>
  </w:footnote>
  <w:footnote w:type="continuationSeparator" w:id="0">
    <w:p w14:paraId="74BF56FB" w14:textId="77777777" w:rsidR="005D630E" w:rsidRDefault="005D630E" w:rsidP="00531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7DEC"/>
    <w:multiLevelType w:val="hybridMultilevel"/>
    <w:tmpl w:val="3BC8CBE0"/>
    <w:lvl w:ilvl="0" w:tplc="FE2EC9E2">
      <w:start w:val="1"/>
      <w:numFmt w:val="lowerLetter"/>
      <w:lvlText w:val="%1."/>
      <w:lvlJc w:val="left"/>
      <w:pPr>
        <w:ind w:left="1080" w:hanging="360"/>
      </w:pPr>
    </w:lvl>
    <w:lvl w:ilvl="1" w:tplc="73424E7E">
      <w:numFmt w:val="decimal"/>
      <w:lvlText w:val=""/>
      <w:lvlJc w:val="left"/>
    </w:lvl>
    <w:lvl w:ilvl="2" w:tplc="AF58685A">
      <w:numFmt w:val="decimal"/>
      <w:lvlText w:val=""/>
      <w:lvlJc w:val="left"/>
    </w:lvl>
    <w:lvl w:ilvl="3" w:tplc="DC20383A">
      <w:numFmt w:val="decimal"/>
      <w:lvlText w:val=""/>
      <w:lvlJc w:val="left"/>
    </w:lvl>
    <w:lvl w:ilvl="4" w:tplc="51602B56">
      <w:numFmt w:val="decimal"/>
      <w:lvlText w:val=""/>
      <w:lvlJc w:val="left"/>
    </w:lvl>
    <w:lvl w:ilvl="5" w:tplc="EE4A4E32">
      <w:numFmt w:val="decimal"/>
      <w:lvlText w:val=""/>
      <w:lvlJc w:val="left"/>
    </w:lvl>
    <w:lvl w:ilvl="6" w:tplc="428A14CE">
      <w:numFmt w:val="decimal"/>
      <w:lvlText w:val=""/>
      <w:lvlJc w:val="left"/>
    </w:lvl>
    <w:lvl w:ilvl="7" w:tplc="A8CAEC22">
      <w:numFmt w:val="decimal"/>
      <w:lvlText w:val=""/>
      <w:lvlJc w:val="left"/>
    </w:lvl>
    <w:lvl w:ilvl="8" w:tplc="86005746">
      <w:numFmt w:val="decimal"/>
      <w:lvlText w:val=""/>
      <w:lvlJc w:val="left"/>
    </w:lvl>
  </w:abstractNum>
  <w:abstractNum w:abstractNumId="1" w15:restartNumberingAfterBreak="0">
    <w:nsid w:val="3D8D7E33"/>
    <w:multiLevelType w:val="hybridMultilevel"/>
    <w:tmpl w:val="84E26238"/>
    <w:lvl w:ilvl="0" w:tplc="760C17A0">
      <w:start w:val="1"/>
      <w:numFmt w:val="bullet"/>
      <w:lvlText w:val="●"/>
      <w:lvlJc w:val="left"/>
      <w:pPr>
        <w:ind w:left="720" w:hanging="360"/>
      </w:pPr>
    </w:lvl>
    <w:lvl w:ilvl="1" w:tplc="A3545586">
      <w:start w:val="1"/>
      <w:numFmt w:val="bullet"/>
      <w:lvlText w:val="○"/>
      <w:lvlJc w:val="left"/>
      <w:pPr>
        <w:ind w:left="1440" w:hanging="360"/>
      </w:pPr>
    </w:lvl>
    <w:lvl w:ilvl="2" w:tplc="74A41EB2">
      <w:start w:val="1"/>
      <w:numFmt w:val="bullet"/>
      <w:lvlText w:val="■"/>
      <w:lvlJc w:val="left"/>
      <w:pPr>
        <w:ind w:left="2160" w:hanging="360"/>
      </w:pPr>
    </w:lvl>
    <w:lvl w:ilvl="3" w:tplc="EF566720">
      <w:start w:val="1"/>
      <w:numFmt w:val="bullet"/>
      <w:lvlText w:val="●"/>
      <w:lvlJc w:val="left"/>
      <w:pPr>
        <w:ind w:left="2880" w:hanging="360"/>
      </w:pPr>
    </w:lvl>
    <w:lvl w:ilvl="4" w:tplc="B86E0A00">
      <w:start w:val="1"/>
      <w:numFmt w:val="bullet"/>
      <w:lvlText w:val="○"/>
      <w:lvlJc w:val="left"/>
      <w:pPr>
        <w:ind w:left="3600" w:hanging="360"/>
      </w:pPr>
    </w:lvl>
    <w:lvl w:ilvl="5" w:tplc="188E79DA">
      <w:start w:val="1"/>
      <w:numFmt w:val="bullet"/>
      <w:lvlText w:val="■"/>
      <w:lvlJc w:val="left"/>
      <w:pPr>
        <w:ind w:left="4320" w:hanging="360"/>
      </w:pPr>
    </w:lvl>
    <w:lvl w:ilvl="6" w:tplc="3F40C8B8">
      <w:start w:val="1"/>
      <w:numFmt w:val="bullet"/>
      <w:lvlText w:val="●"/>
      <w:lvlJc w:val="left"/>
      <w:pPr>
        <w:ind w:left="5040" w:hanging="360"/>
      </w:pPr>
    </w:lvl>
    <w:lvl w:ilvl="7" w:tplc="E75A1FD0">
      <w:start w:val="1"/>
      <w:numFmt w:val="bullet"/>
      <w:lvlText w:val="●"/>
      <w:lvlJc w:val="left"/>
      <w:pPr>
        <w:ind w:left="5760" w:hanging="360"/>
      </w:pPr>
    </w:lvl>
    <w:lvl w:ilvl="8" w:tplc="DE6EB224">
      <w:start w:val="1"/>
      <w:numFmt w:val="bullet"/>
      <w:lvlText w:val="●"/>
      <w:lvlJc w:val="left"/>
      <w:pPr>
        <w:ind w:left="6480" w:hanging="360"/>
      </w:pPr>
    </w:lvl>
  </w:abstractNum>
  <w:abstractNum w:abstractNumId="2" w15:restartNumberingAfterBreak="0">
    <w:nsid w:val="4DE918F7"/>
    <w:multiLevelType w:val="hybridMultilevel"/>
    <w:tmpl w:val="FCBEA59C"/>
    <w:lvl w:ilvl="0" w:tplc="E80837C8">
      <w:start w:val="1"/>
      <w:numFmt w:val="decimal"/>
      <w:lvlText w:val="%1."/>
      <w:lvlJc w:val="left"/>
      <w:pPr>
        <w:ind w:left="720" w:hanging="360"/>
      </w:pPr>
    </w:lvl>
    <w:lvl w:ilvl="1" w:tplc="7D964FDE">
      <w:numFmt w:val="decimal"/>
      <w:lvlText w:val=""/>
      <w:lvlJc w:val="left"/>
    </w:lvl>
    <w:lvl w:ilvl="2" w:tplc="5134B6EE">
      <w:numFmt w:val="decimal"/>
      <w:lvlText w:val=""/>
      <w:lvlJc w:val="left"/>
    </w:lvl>
    <w:lvl w:ilvl="3" w:tplc="57305712">
      <w:numFmt w:val="decimal"/>
      <w:lvlText w:val=""/>
      <w:lvlJc w:val="left"/>
    </w:lvl>
    <w:lvl w:ilvl="4" w:tplc="AB8E152C">
      <w:numFmt w:val="decimal"/>
      <w:lvlText w:val=""/>
      <w:lvlJc w:val="left"/>
    </w:lvl>
    <w:lvl w:ilvl="5" w:tplc="BF0CD008">
      <w:numFmt w:val="decimal"/>
      <w:lvlText w:val=""/>
      <w:lvlJc w:val="left"/>
    </w:lvl>
    <w:lvl w:ilvl="6" w:tplc="77D8229C">
      <w:numFmt w:val="decimal"/>
      <w:lvlText w:val=""/>
      <w:lvlJc w:val="left"/>
    </w:lvl>
    <w:lvl w:ilvl="7" w:tplc="3A7C14CE">
      <w:numFmt w:val="decimal"/>
      <w:lvlText w:val=""/>
      <w:lvlJc w:val="left"/>
    </w:lvl>
    <w:lvl w:ilvl="8" w:tplc="603AF3E8">
      <w:numFmt w:val="decimal"/>
      <w:lvlText w:val=""/>
      <w:lvlJc w:val="left"/>
    </w:lvl>
  </w:abstractNum>
  <w:abstractNum w:abstractNumId="3" w15:restartNumberingAfterBreak="0">
    <w:nsid w:val="68764AE5"/>
    <w:multiLevelType w:val="hybridMultilevel"/>
    <w:tmpl w:val="CE763750"/>
    <w:lvl w:ilvl="0" w:tplc="6798989C">
      <w:start w:val="1"/>
      <w:numFmt w:val="bullet"/>
      <w:lvlText w:val="•"/>
      <w:lvlJc w:val="left"/>
      <w:pPr>
        <w:ind w:left="720" w:hanging="360"/>
      </w:pPr>
    </w:lvl>
    <w:lvl w:ilvl="1" w:tplc="FD900E30">
      <w:numFmt w:val="decimal"/>
      <w:lvlText w:val=""/>
      <w:lvlJc w:val="left"/>
    </w:lvl>
    <w:lvl w:ilvl="2" w:tplc="8DA4356A">
      <w:numFmt w:val="decimal"/>
      <w:lvlText w:val=""/>
      <w:lvlJc w:val="left"/>
    </w:lvl>
    <w:lvl w:ilvl="3" w:tplc="7BC24C6E">
      <w:numFmt w:val="decimal"/>
      <w:lvlText w:val=""/>
      <w:lvlJc w:val="left"/>
    </w:lvl>
    <w:lvl w:ilvl="4" w:tplc="6B1A24B2">
      <w:numFmt w:val="decimal"/>
      <w:lvlText w:val=""/>
      <w:lvlJc w:val="left"/>
    </w:lvl>
    <w:lvl w:ilvl="5" w:tplc="3B0CA7B4">
      <w:numFmt w:val="decimal"/>
      <w:lvlText w:val=""/>
      <w:lvlJc w:val="left"/>
    </w:lvl>
    <w:lvl w:ilvl="6" w:tplc="0FB29F10">
      <w:numFmt w:val="decimal"/>
      <w:lvlText w:val=""/>
      <w:lvlJc w:val="left"/>
    </w:lvl>
    <w:lvl w:ilvl="7" w:tplc="B9E2A1AE">
      <w:numFmt w:val="decimal"/>
      <w:lvlText w:val=""/>
      <w:lvlJc w:val="left"/>
    </w:lvl>
    <w:lvl w:ilvl="8" w:tplc="1D3CDA78">
      <w:numFmt w:val="decimal"/>
      <w:lvlText w:val=""/>
      <w:lvlJc w:val="left"/>
    </w:lvl>
  </w:abstractNum>
  <w:num w:numId="1" w16cid:durableId="74594043">
    <w:abstractNumId w:val="1"/>
    <w:lvlOverride w:ilvl="0">
      <w:startOverride w:val="1"/>
    </w:lvlOverride>
  </w:num>
  <w:num w:numId="2" w16cid:durableId="1150175654">
    <w:abstractNumId w:val="3"/>
    <w:lvlOverride w:ilvl="0">
      <w:startOverride w:val="1"/>
    </w:lvlOverride>
  </w:num>
  <w:num w:numId="3" w16cid:durableId="1753040726">
    <w:abstractNumId w:val="0"/>
    <w:lvlOverride w:ilvl="0">
      <w:startOverride w:val="1"/>
    </w:lvlOverride>
  </w:num>
  <w:num w:numId="4" w16cid:durableId="16298156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FFE"/>
    <w:rsid w:val="000B6B23"/>
    <w:rsid w:val="0053125B"/>
    <w:rsid w:val="005D630E"/>
    <w:rsid w:val="00C9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A47EE"/>
  <w15:docId w15:val="{1801A06F-F618-4E67-94C9-03350F8ED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000000"/>
    </w:rPr>
  </w:style>
  <w:style w:type="paragraph" w:styleId="Heading2">
    <w:name w:val="heading 2"/>
    <w:uiPriority w:val="9"/>
    <w:unhideWhenUsed/>
    <w:qFormat/>
    <w:pPr>
      <w:spacing w:before="200" w:after="100"/>
      <w:outlineLvl w:val="1"/>
    </w:pPr>
    <w:rPr>
      <w:b/>
      <w:bCs/>
      <w:i/>
      <w:i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40"/>
      <w:jc w:val="center"/>
    </w:pPr>
    <w:rPr>
      <w:b/>
      <w:bCs/>
      <w:color w:val="000000"/>
      <w:sz w:val="32"/>
      <w:szCs w:val="32"/>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125B"/>
    <w:pPr>
      <w:tabs>
        <w:tab w:val="center" w:pos="4680"/>
        <w:tab w:val="right" w:pos="9360"/>
      </w:tabs>
    </w:pPr>
  </w:style>
  <w:style w:type="character" w:customStyle="1" w:styleId="HeaderChar">
    <w:name w:val="Header Char"/>
    <w:basedOn w:val="DefaultParagraphFont"/>
    <w:link w:val="Header"/>
    <w:uiPriority w:val="99"/>
    <w:rsid w:val="0053125B"/>
  </w:style>
  <w:style w:type="paragraph" w:styleId="Footer">
    <w:name w:val="footer"/>
    <w:basedOn w:val="Normal"/>
    <w:link w:val="FooterChar"/>
    <w:uiPriority w:val="99"/>
    <w:unhideWhenUsed/>
    <w:rsid w:val="0053125B"/>
    <w:pPr>
      <w:tabs>
        <w:tab w:val="center" w:pos="4680"/>
        <w:tab w:val="right" w:pos="9360"/>
      </w:tabs>
    </w:pPr>
  </w:style>
  <w:style w:type="character" w:customStyle="1" w:styleId="FooterChar">
    <w:name w:val="Footer Char"/>
    <w:basedOn w:val="DefaultParagraphFont"/>
    <w:link w:val="Footer"/>
    <w:uiPriority w:val="99"/>
    <w:rsid w:val="0053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868</Words>
  <Characters>5322</Characters>
  <Application>Microsoft Office Word</Application>
  <DocSecurity>0</DocSecurity>
  <Lines>115</Lines>
  <Paragraphs>95</Paragraphs>
  <ScaleCrop>false</ScaleCrop>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Chantal Regan</cp:lastModifiedBy>
  <cp:revision>2</cp:revision>
  <dcterms:created xsi:type="dcterms:W3CDTF">2025-12-29T21:45:00Z</dcterms:created>
  <dcterms:modified xsi:type="dcterms:W3CDTF">2025-12-29T21:47:00Z</dcterms:modified>
</cp:coreProperties>
</file>