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96B5" w14:textId="77777777" w:rsidR="005753E0" w:rsidRDefault="00000000">
      <w:pPr>
        <w:pStyle w:val="Heading1"/>
      </w:pPr>
      <w:r>
        <w:t>📬 Trade &amp; Tariff Bulletin</w:t>
      </w:r>
    </w:p>
    <w:p w14:paraId="49827160" w14:textId="77777777" w:rsidR="005753E0" w:rsidRDefault="00000000">
      <w:r>
        <w:t>Issue Date: June 12, 2025</w:t>
      </w:r>
    </w:p>
    <w:p w14:paraId="2C443EA0" w14:textId="77777777" w:rsidR="005753E0" w:rsidRDefault="00000000">
      <w:r>
        <w:t>Subject: Key Tariff Developments Impacting U.S. Importers</w:t>
      </w:r>
    </w:p>
    <w:p w14:paraId="5123564B" w14:textId="77777777" w:rsidR="005753E0" w:rsidRDefault="00000000">
      <w:pPr>
        <w:pStyle w:val="Heading2"/>
      </w:pPr>
      <w:r>
        <w:t>🔍 What’s New in Tariffs?</w:t>
      </w:r>
    </w:p>
    <w:p w14:paraId="53B250BD" w14:textId="77777777" w:rsidR="005753E0" w:rsidRDefault="00000000">
      <w:r>
        <w:t>As global trade dynamics continue to evolve, here are the latest updates that matter most to your business:</w:t>
      </w:r>
    </w:p>
    <w:p w14:paraId="7AD04629" w14:textId="77777777" w:rsidR="005753E0" w:rsidRDefault="00000000">
      <w:pPr>
        <w:pStyle w:val="Heading2"/>
      </w:pPr>
      <w:r>
        <w:t>🇨🇳 China Tariffs – Still Holding at 55%</w:t>
      </w:r>
    </w:p>
    <w:p w14:paraId="23209B7E" w14:textId="77777777" w:rsidR="005753E0" w:rsidRDefault="00000000">
      <w:r>
        <w:t>Despite recent headlines about a new trade deal, the total duty on Chinese imports remains unchanged at 55%, composed of:</w:t>
      </w:r>
    </w:p>
    <w:p w14:paraId="34F9E958" w14:textId="77777777" w:rsidR="005753E0" w:rsidRDefault="00000000">
      <w:pPr>
        <w:pStyle w:val="ListBullet"/>
      </w:pPr>
      <w:r>
        <w:t>Section 301 Tariff: 25%</w:t>
      </w:r>
    </w:p>
    <w:p w14:paraId="7279B420" w14:textId="77777777" w:rsidR="005753E0" w:rsidRDefault="00000000">
      <w:pPr>
        <w:pStyle w:val="ListBullet"/>
      </w:pPr>
      <w:r>
        <w:t>IEEPA “Fentanyl” Tariff: 20%</w:t>
      </w:r>
    </w:p>
    <w:p w14:paraId="420023B0" w14:textId="77777777" w:rsidR="005753E0" w:rsidRDefault="00000000">
      <w:pPr>
        <w:pStyle w:val="ListBullet"/>
      </w:pPr>
      <w:r>
        <w:t>IEEPA Reciprocal Tariff: 10%</w:t>
      </w:r>
    </w:p>
    <w:p w14:paraId="1A65FEB7" w14:textId="77777777" w:rsidR="005753E0" w:rsidRDefault="00000000">
      <w:r>
        <w:t>A federal court ruling invalidated the IEEPA tariffs, but enforcement is paused pending appeal. The case is scheduled for argument on July 31, and a final decision may reach the Supreme Court. Until then, importers must continue paying all applicable duties.</w:t>
      </w:r>
    </w:p>
    <w:p w14:paraId="55E97BE9" w14:textId="77777777" w:rsidR="005753E0" w:rsidRDefault="00000000">
      <w:pPr>
        <w:pStyle w:val="Heading2"/>
      </w:pPr>
      <w:r>
        <w:t>🔩 Steel &amp; Aluminum Tariffs – Now 50%</w:t>
      </w:r>
    </w:p>
    <w:p w14:paraId="794373C8" w14:textId="77777777" w:rsidR="005753E0" w:rsidRDefault="00000000">
      <w:r>
        <w:t>Effective June 4, the Section 232 tariff on steel and aluminum has doubled from 25% to 50%. This applies only to the metal content of the imported product. Importers must:</w:t>
      </w:r>
    </w:p>
    <w:p w14:paraId="2BBDAD34" w14:textId="77777777" w:rsidR="005753E0" w:rsidRDefault="00000000">
      <w:pPr>
        <w:pStyle w:val="ListBullet"/>
      </w:pPr>
      <w:r>
        <w:t>Accurately document the value of the metal content</w:t>
      </w:r>
    </w:p>
    <w:p w14:paraId="26AA6CCC" w14:textId="77777777" w:rsidR="005753E0" w:rsidRDefault="00000000">
      <w:pPr>
        <w:pStyle w:val="ListBullet"/>
      </w:pPr>
      <w:r>
        <w:t>Understand that the remaining product value is still subject to the 10% reciprocal tariff</w:t>
      </w:r>
    </w:p>
    <w:p w14:paraId="731C9DD5" w14:textId="77777777" w:rsidR="005753E0" w:rsidRDefault="00000000">
      <w:pPr>
        <w:pStyle w:val="Heading2"/>
      </w:pPr>
      <w:r>
        <w:t>📄 Compliance Reminder</w:t>
      </w:r>
    </w:p>
    <w:p w14:paraId="2BDFD869" w14:textId="77777777" w:rsidR="005753E0" w:rsidRDefault="00000000">
      <w:r>
        <w:t>With overlapping tariffs and legal uncertainty, importers are urged to:</w:t>
      </w:r>
    </w:p>
    <w:p w14:paraId="457DFA81" w14:textId="77777777" w:rsidR="005753E0" w:rsidRDefault="00000000">
      <w:pPr>
        <w:pStyle w:val="ListBullet"/>
      </w:pPr>
      <w:r>
        <w:t>Review product classifications carefully</w:t>
      </w:r>
    </w:p>
    <w:p w14:paraId="0CFFEFD9" w14:textId="77777777" w:rsidR="005753E0" w:rsidRDefault="00000000">
      <w:pPr>
        <w:pStyle w:val="ListBullet"/>
      </w:pPr>
      <w:r>
        <w:t>Ensure documentation is complete and accurate</w:t>
      </w:r>
    </w:p>
    <w:p w14:paraId="51A10829" w14:textId="77777777" w:rsidR="005753E0" w:rsidRDefault="00000000">
      <w:pPr>
        <w:pStyle w:val="ListBullet"/>
      </w:pPr>
      <w:r>
        <w:t>Consult with customs experts to avoid penalties</w:t>
      </w:r>
    </w:p>
    <w:p w14:paraId="29C2ECCE" w14:textId="77777777" w:rsidR="005753E0" w:rsidRDefault="00000000">
      <w:pPr>
        <w:pStyle w:val="Heading2"/>
      </w:pPr>
      <w:r>
        <w:t>📅 What’s Next?</w:t>
      </w:r>
    </w:p>
    <w:p w14:paraId="3603617F" w14:textId="77777777" w:rsidR="005753E0" w:rsidRDefault="00000000">
      <w:r>
        <w:t>While trade negotiations are ongoing, no official changes have been enacted. Stay tuned for updates following the July 31 court hearing.</w:t>
      </w:r>
    </w:p>
    <w:sectPr w:rsidR="005753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1633560">
    <w:abstractNumId w:val="8"/>
  </w:num>
  <w:num w:numId="2" w16cid:durableId="1979191038">
    <w:abstractNumId w:val="6"/>
  </w:num>
  <w:num w:numId="3" w16cid:durableId="508907569">
    <w:abstractNumId w:val="5"/>
  </w:num>
  <w:num w:numId="4" w16cid:durableId="790629217">
    <w:abstractNumId w:val="4"/>
  </w:num>
  <w:num w:numId="5" w16cid:durableId="558134762">
    <w:abstractNumId w:val="7"/>
  </w:num>
  <w:num w:numId="6" w16cid:durableId="1567228896">
    <w:abstractNumId w:val="3"/>
  </w:num>
  <w:num w:numId="7" w16cid:durableId="133446089">
    <w:abstractNumId w:val="2"/>
  </w:num>
  <w:num w:numId="8" w16cid:durableId="940992480">
    <w:abstractNumId w:val="1"/>
  </w:num>
  <w:num w:numId="9" w16cid:durableId="103720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6867"/>
    <w:rsid w:val="0015074B"/>
    <w:rsid w:val="0029639D"/>
    <w:rsid w:val="00326F90"/>
    <w:rsid w:val="005753E0"/>
    <w:rsid w:val="008E539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C7713"/>
  <w14:defaultImageDpi w14:val="300"/>
  <w15:docId w15:val="{99C7B3C1-E6B6-7A45-8A12-D3F65948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Devon  Moore</cp:lastModifiedBy>
  <cp:revision>2</cp:revision>
  <dcterms:created xsi:type="dcterms:W3CDTF">2025-06-12T16:21:00Z</dcterms:created>
  <dcterms:modified xsi:type="dcterms:W3CDTF">2025-06-12T16:21:00Z</dcterms:modified>
  <cp:category/>
</cp:coreProperties>
</file>