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19E39" w14:textId="7DCCB366" w:rsidR="00FD15BC" w:rsidRPr="00C648AF" w:rsidRDefault="00F463D5" w:rsidP="00F463D5">
      <w:pPr>
        <w:jc w:val="center"/>
        <w:rPr>
          <w:rFonts w:cs="Mangal"/>
          <w:b/>
          <w:sz w:val="16"/>
          <w:szCs w:val="16"/>
        </w:rPr>
      </w:pPr>
      <w:r>
        <w:rPr>
          <w:rFonts w:cs="Mangal"/>
          <w:b/>
          <w:noProof/>
          <w:sz w:val="16"/>
          <w:szCs w:val="16"/>
        </w:rPr>
        <w:drawing>
          <wp:inline distT="0" distB="0" distL="0" distR="0" wp14:anchorId="29300337" wp14:editId="43F1BE01">
            <wp:extent cx="2235986" cy="1216660"/>
            <wp:effectExtent l="0" t="0" r="0" b="2540"/>
            <wp:docPr id="1" name="Picture 1" descr="LogoFF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F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79" cy="123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1FCB71" w14:textId="77777777" w:rsidR="00FD15BC" w:rsidRPr="001A2987" w:rsidRDefault="00FD15BC" w:rsidP="00071D92">
      <w:pPr>
        <w:pStyle w:val="Body"/>
        <w:jc w:val="center"/>
        <w:rPr>
          <w:b/>
          <w:bCs/>
          <w:sz w:val="22"/>
          <w:szCs w:val="22"/>
        </w:rPr>
      </w:pPr>
    </w:p>
    <w:p w14:paraId="7014E7A2" w14:textId="77777777" w:rsidR="008663D5" w:rsidRPr="001A2987" w:rsidRDefault="008663D5" w:rsidP="00071D92">
      <w:pPr>
        <w:pStyle w:val="Body"/>
        <w:rPr>
          <w:b/>
          <w:bCs/>
          <w:sz w:val="16"/>
          <w:szCs w:val="16"/>
        </w:rPr>
      </w:pPr>
      <w:r w:rsidRPr="001A2987">
        <w:rPr>
          <w:b/>
          <w:bCs/>
          <w:sz w:val="16"/>
          <w:szCs w:val="16"/>
        </w:rPr>
        <w:t>Notice of Privacy Practices</w:t>
      </w:r>
    </w:p>
    <w:p w14:paraId="435DEB5B" w14:textId="77777777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This notice describes how information about you may be used and disclosed and how you can get access to this information.</w:t>
      </w:r>
    </w:p>
    <w:p w14:paraId="051ACBB8" w14:textId="77777777" w:rsidR="008663D5" w:rsidRPr="001A2987" w:rsidRDefault="008663D5" w:rsidP="00071D92">
      <w:pPr>
        <w:pStyle w:val="Body"/>
        <w:rPr>
          <w:b/>
          <w:bCs/>
          <w:sz w:val="16"/>
          <w:szCs w:val="16"/>
        </w:rPr>
      </w:pPr>
    </w:p>
    <w:p w14:paraId="7005F429" w14:textId="77777777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b/>
          <w:bCs/>
          <w:sz w:val="16"/>
          <w:szCs w:val="16"/>
        </w:rPr>
        <w:t>Please review this notice carefully</w:t>
      </w:r>
      <w:r w:rsidRPr="001A2987">
        <w:rPr>
          <w:sz w:val="16"/>
          <w:szCs w:val="16"/>
        </w:rPr>
        <w:t>.</w:t>
      </w:r>
    </w:p>
    <w:p w14:paraId="29AD8B5F" w14:textId="7B010EAA" w:rsidR="008663D5" w:rsidRPr="001A2987" w:rsidRDefault="00C648AF" w:rsidP="00071D92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Infinite Options Counseling </w:t>
      </w:r>
      <w:r w:rsidR="008663D5" w:rsidRPr="001A2987">
        <w:rPr>
          <w:sz w:val="16"/>
          <w:szCs w:val="16"/>
        </w:rPr>
        <w:t>is committed to maintaining the privacy of your protected health information (PHI) which i</w:t>
      </w:r>
      <w:r>
        <w:rPr>
          <w:sz w:val="16"/>
          <w:szCs w:val="16"/>
        </w:rPr>
        <w:t xml:space="preserve">ncludes information about your </w:t>
      </w:r>
      <w:r w:rsidR="008663D5" w:rsidRPr="001A2987">
        <w:rPr>
          <w:sz w:val="16"/>
          <w:szCs w:val="16"/>
        </w:rPr>
        <w:t xml:space="preserve">health condition and the therapeutic </w:t>
      </w:r>
      <w:r>
        <w:rPr>
          <w:sz w:val="16"/>
          <w:szCs w:val="16"/>
        </w:rPr>
        <w:t xml:space="preserve">intervention that you receive.  </w:t>
      </w:r>
      <w:r w:rsidR="008663D5" w:rsidRPr="001A2987">
        <w:rPr>
          <w:sz w:val="16"/>
          <w:szCs w:val="16"/>
        </w:rPr>
        <w:t>The creation of a record detailing the service you receive helps me to provide you with quality behavioral th</w:t>
      </w:r>
      <w:r>
        <w:rPr>
          <w:sz w:val="16"/>
          <w:szCs w:val="16"/>
        </w:rPr>
        <w:t>erapy services.  Infinite Options Counseling</w:t>
      </w:r>
      <w:r w:rsidR="008663D5" w:rsidRPr="001A2987">
        <w:rPr>
          <w:sz w:val="16"/>
          <w:szCs w:val="16"/>
        </w:rPr>
        <w:t xml:space="preserve"> is required by law to maintain the privacy of you and your child’s health information and to inform you of the duties and privacy practices.  This notice describes some of th</w:t>
      </w:r>
      <w:r>
        <w:rPr>
          <w:sz w:val="16"/>
          <w:szCs w:val="16"/>
        </w:rPr>
        <w:t xml:space="preserve">e ways in which Infinite Options Counseling </w:t>
      </w:r>
      <w:r w:rsidR="008663D5" w:rsidRPr="001A2987">
        <w:rPr>
          <w:sz w:val="16"/>
          <w:szCs w:val="16"/>
        </w:rPr>
        <w:t>may use or disclose you or your child’s PHI and the rights you have concerning you or your child’s heal</w:t>
      </w:r>
      <w:r>
        <w:rPr>
          <w:sz w:val="16"/>
          <w:szCs w:val="16"/>
        </w:rPr>
        <w:t>th information.  Melina Dominguez</w:t>
      </w:r>
      <w:r w:rsidR="008663D5" w:rsidRPr="001A2987">
        <w:rPr>
          <w:sz w:val="16"/>
          <w:szCs w:val="16"/>
        </w:rPr>
        <w:t xml:space="preserve"> i</w:t>
      </w:r>
      <w:r>
        <w:rPr>
          <w:sz w:val="16"/>
          <w:szCs w:val="16"/>
        </w:rPr>
        <w:t xml:space="preserve">s the Privacy Officer for Infinite Options </w:t>
      </w:r>
      <w:r w:rsidR="008663D5" w:rsidRPr="001A2987">
        <w:rPr>
          <w:sz w:val="16"/>
          <w:szCs w:val="16"/>
        </w:rPr>
        <w:t xml:space="preserve">Counseling, who will oversee all activities related to implementing and monitoring compliance with the privacy rule.  </w:t>
      </w:r>
    </w:p>
    <w:p w14:paraId="01C887A5" w14:textId="77777777" w:rsidR="008663D5" w:rsidRPr="001A2987" w:rsidRDefault="008663D5" w:rsidP="00071D92">
      <w:pPr>
        <w:pStyle w:val="Body"/>
        <w:rPr>
          <w:sz w:val="16"/>
          <w:szCs w:val="16"/>
        </w:rPr>
      </w:pPr>
    </w:p>
    <w:p w14:paraId="0508670A" w14:textId="77777777" w:rsidR="008663D5" w:rsidRPr="001A2987" w:rsidRDefault="008663D5" w:rsidP="00071D92">
      <w:pPr>
        <w:pStyle w:val="Body"/>
        <w:rPr>
          <w:sz w:val="16"/>
          <w:szCs w:val="16"/>
          <w:u w:val="single"/>
        </w:rPr>
      </w:pPr>
      <w:r w:rsidRPr="001A2987">
        <w:rPr>
          <w:b/>
          <w:bCs/>
          <w:sz w:val="16"/>
          <w:szCs w:val="16"/>
          <w:u w:val="single"/>
        </w:rPr>
        <w:t>Disclosure for treatment or payment</w:t>
      </w:r>
    </w:p>
    <w:p w14:paraId="2E65908D" w14:textId="77FE8822" w:rsidR="008663D5" w:rsidRPr="001A2987" w:rsidRDefault="00C648AF" w:rsidP="00071D92">
      <w:pPr>
        <w:pStyle w:val="Body"/>
        <w:rPr>
          <w:sz w:val="16"/>
          <w:szCs w:val="16"/>
        </w:rPr>
      </w:pPr>
      <w:r>
        <w:rPr>
          <w:sz w:val="16"/>
          <w:szCs w:val="16"/>
        </w:rPr>
        <w:t>Infinite Options Counseling</w:t>
      </w:r>
      <w:r w:rsidR="008663D5" w:rsidRPr="001A2987">
        <w:rPr>
          <w:sz w:val="16"/>
          <w:szCs w:val="16"/>
        </w:rPr>
        <w:t xml:space="preserve"> will obtain your consent for most uses and disclosures of your PHI for the purpose of:</w:t>
      </w:r>
    </w:p>
    <w:p w14:paraId="09673840" w14:textId="381B69A1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  <w:u w:val="single"/>
        </w:rPr>
        <w:t>treatment-</w:t>
      </w:r>
      <w:r w:rsidRPr="001A2987">
        <w:rPr>
          <w:sz w:val="16"/>
          <w:szCs w:val="16"/>
        </w:rPr>
        <w:t>in order to provide you with the optimal ther</w:t>
      </w:r>
      <w:r w:rsidR="003D5415" w:rsidRPr="001A2987">
        <w:rPr>
          <w:sz w:val="16"/>
          <w:szCs w:val="16"/>
        </w:rPr>
        <w:t xml:space="preserve">apeutic intervention that you </w:t>
      </w:r>
      <w:r w:rsidR="00C648AF">
        <w:rPr>
          <w:sz w:val="16"/>
          <w:szCs w:val="16"/>
        </w:rPr>
        <w:t>require, Infinite Options Counseling</w:t>
      </w:r>
      <w:r w:rsidRPr="001A2987">
        <w:rPr>
          <w:sz w:val="16"/>
          <w:szCs w:val="16"/>
        </w:rPr>
        <w:t xml:space="preserve"> will provide y</w:t>
      </w:r>
      <w:r w:rsidR="003D5415" w:rsidRPr="001A2987">
        <w:rPr>
          <w:sz w:val="16"/>
          <w:szCs w:val="16"/>
        </w:rPr>
        <w:t xml:space="preserve">our PHI to those health care </w:t>
      </w:r>
      <w:r w:rsidRPr="001A2987">
        <w:rPr>
          <w:sz w:val="16"/>
          <w:szCs w:val="16"/>
        </w:rPr>
        <w:t xml:space="preserve">professionals with your consent. </w:t>
      </w:r>
    </w:p>
    <w:p w14:paraId="57E59AF8" w14:textId="13FF7E97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  <w:u w:val="single"/>
        </w:rPr>
        <w:t>payment-</w:t>
      </w:r>
      <w:r w:rsidRPr="001A2987">
        <w:rPr>
          <w:sz w:val="16"/>
          <w:szCs w:val="16"/>
        </w:rPr>
        <w:t>in order to get paid for service provided to y</w:t>
      </w:r>
      <w:r w:rsidR="003D5415" w:rsidRPr="001A2987">
        <w:rPr>
          <w:sz w:val="16"/>
          <w:szCs w:val="16"/>
        </w:rPr>
        <w:t xml:space="preserve">ou, </w:t>
      </w:r>
      <w:r w:rsidR="00C648AF">
        <w:rPr>
          <w:sz w:val="16"/>
          <w:szCs w:val="16"/>
        </w:rPr>
        <w:t>Infinite Options Counseling</w:t>
      </w:r>
      <w:r w:rsidR="001A2987" w:rsidRPr="001A2987">
        <w:rPr>
          <w:sz w:val="16"/>
          <w:szCs w:val="16"/>
        </w:rPr>
        <w:t xml:space="preserve">, </w:t>
      </w:r>
      <w:r w:rsidR="003D5415" w:rsidRPr="001A2987">
        <w:rPr>
          <w:sz w:val="16"/>
          <w:szCs w:val="16"/>
        </w:rPr>
        <w:t xml:space="preserve">may also </w:t>
      </w:r>
      <w:r w:rsidRPr="001A2987">
        <w:rPr>
          <w:sz w:val="16"/>
          <w:szCs w:val="16"/>
        </w:rPr>
        <w:t>need to tell your insurance plan about treatment y</w:t>
      </w:r>
      <w:r w:rsidR="003D5415" w:rsidRPr="001A2987">
        <w:rPr>
          <w:sz w:val="16"/>
          <w:szCs w:val="16"/>
        </w:rPr>
        <w:t xml:space="preserve">ou will receive so that it can </w:t>
      </w:r>
      <w:r w:rsidRPr="001A2987">
        <w:rPr>
          <w:sz w:val="16"/>
          <w:szCs w:val="16"/>
        </w:rPr>
        <w:t xml:space="preserve">determine whether or not it will cover the treatment expense. </w:t>
      </w:r>
    </w:p>
    <w:p w14:paraId="1E7708A1" w14:textId="009771CF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  <w:u w:val="single"/>
        </w:rPr>
        <w:t>when required by law-</w:t>
      </w:r>
      <w:r w:rsidR="00C648AF">
        <w:rPr>
          <w:sz w:val="16"/>
          <w:szCs w:val="16"/>
        </w:rPr>
        <w:t xml:space="preserve"> Infinite Options Counseling</w:t>
      </w:r>
      <w:r w:rsidRPr="001A2987">
        <w:rPr>
          <w:sz w:val="16"/>
          <w:szCs w:val="16"/>
        </w:rPr>
        <w:t xml:space="preserve"> may dis</w:t>
      </w:r>
      <w:r w:rsidR="003D5415" w:rsidRPr="001A2987">
        <w:rPr>
          <w:sz w:val="16"/>
          <w:szCs w:val="16"/>
        </w:rPr>
        <w:t xml:space="preserve">close you or your child’s PHI </w:t>
      </w:r>
      <w:r w:rsidRPr="001A2987">
        <w:rPr>
          <w:sz w:val="16"/>
          <w:szCs w:val="16"/>
        </w:rPr>
        <w:t xml:space="preserve">as required by federal, state, or local laws.  </w:t>
      </w:r>
      <w:r w:rsidR="00C648AF">
        <w:rPr>
          <w:sz w:val="16"/>
          <w:szCs w:val="16"/>
        </w:rPr>
        <w:t>For example, Infinite Options Counseling</w:t>
      </w:r>
      <w:r w:rsidR="003D5415" w:rsidRPr="001A2987">
        <w:rPr>
          <w:sz w:val="16"/>
          <w:szCs w:val="16"/>
        </w:rPr>
        <w:t xml:space="preserve">, </w:t>
      </w:r>
      <w:r w:rsidRPr="001A2987">
        <w:rPr>
          <w:sz w:val="16"/>
          <w:szCs w:val="16"/>
        </w:rPr>
        <w:t>may disclose information pursuant to a Federal Grand Jury subpoena.</w:t>
      </w:r>
    </w:p>
    <w:p w14:paraId="5792D344" w14:textId="0ADE58D6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  <w:u w:val="single"/>
        </w:rPr>
        <w:t>in an emergency-</w:t>
      </w:r>
      <w:r w:rsidR="00C648AF">
        <w:rPr>
          <w:sz w:val="16"/>
          <w:szCs w:val="16"/>
        </w:rPr>
        <w:t xml:space="preserve"> Infinite Options Counseling </w:t>
      </w:r>
      <w:r w:rsidRPr="001A2987">
        <w:rPr>
          <w:sz w:val="16"/>
          <w:szCs w:val="16"/>
        </w:rPr>
        <w:t>may disclo</w:t>
      </w:r>
      <w:r w:rsidR="001A2987" w:rsidRPr="001A2987">
        <w:rPr>
          <w:sz w:val="16"/>
          <w:szCs w:val="16"/>
        </w:rPr>
        <w:t xml:space="preserve">se you or your child’s PHI to </w:t>
      </w:r>
      <w:r w:rsidRPr="001A2987">
        <w:rPr>
          <w:sz w:val="16"/>
          <w:szCs w:val="16"/>
        </w:rPr>
        <w:t>medical or law enforcement personnel if the inf</w:t>
      </w:r>
      <w:r w:rsidR="003D5415" w:rsidRPr="001A2987">
        <w:rPr>
          <w:sz w:val="16"/>
          <w:szCs w:val="16"/>
        </w:rPr>
        <w:t xml:space="preserve">ormation is needed to prevent </w:t>
      </w:r>
      <w:r w:rsidRPr="001A2987">
        <w:rPr>
          <w:sz w:val="16"/>
          <w:szCs w:val="16"/>
        </w:rPr>
        <w:t>immediate harm to you or your child.</w:t>
      </w:r>
    </w:p>
    <w:p w14:paraId="36BFBC2F" w14:textId="77777777" w:rsidR="008663D5" w:rsidRPr="001A2987" w:rsidRDefault="008663D5" w:rsidP="00071D92">
      <w:pPr>
        <w:pStyle w:val="Body"/>
        <w:rPr>
          <w:sz w:val="16"/>
          <w:szCs w:val="16"/>
        </w:rPr>
      </w:pPr>
    </w:p>
    <w:p w14:paraId="74A320CD" w14:textId="77777777" w:rsidR="008663D5" w:rsidRPr="001A2987" w:rsidRDefault="008663D5" w:rsidP="00071D92">
      <w:pPr>
        <w:pStyle w:val="Body"/>
        <w:rPr>
          <w:b/>
          <w:bCs/>
          <w:sz w:val="16"/>
          <w:szCs w:val="16"/>
        </w:rPr>
      </w:pPr>
      <w:r w:rsidRPr="001A2987">
        <w:rPr>
          <w:b/>
          <w:bCs/>
          <w:sz w:val="16"/>
          <w:szCs w:val="16"/>
          <w:u w:val="single"/>
        </w:rPr>
        <w:t>Your rights regarding health information</w:t>
      </w:r>
    </w:p>
    <w:p w14:paraId="5885C82E" w14:textId="53563A2C" w:rsidR="008663D5" w:rsidRPr="001A2987" w:rsidRDefault="008663D5" w:rsidP="00071D92">
      <w:pPr>
        <w:pStyle w:val="Body"/>
        <w:rPr>
          <w:sz w:val="16"/>
          <w:szCs w:val="16"/>
          <w:u w:val="single"/>
        </w:rPr>
      </w:pPr>
      <w:r w:rsidRPr="001A2987">
        <w:rPr>
          <w:sz w:val="16"/>
          <w:szCs w:val="16"/>
          <w:u w:val="single"/>
        </w:rPr>
        <w:t>You have the right to:</w:t>
      </w:r>
      <w:r w:rsidR="001A2987">
        <w:rPr>
          <w:sz w:val="16"/>
          <w:szCs w:val="16"/>
          <w:u w:val="single"/>
        </w:rPr>
        <w:t xml:space="preserve"> </w:t>
      </w:r>
      <w:r w:rsidRPr="001A2987">
        <w:rPr>
          <w:sz w:val="16"/>
          <w:szCs w:val="16"/>
        </w:rPr>
        <w:t>Control the release of your medical information and request restrictions.</w:t>
      </w:r>
    </w:p>
    <w:p w14:paraId="1F5D8473" w14:textId="267C02A4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 xml:space="preserve">-Receive a paper copy </w:t>
      </w:r>
      <w:r w:rsidR="00C648AF">
        <w:rPr>
          <w:sz w:val="16"/>
          <w:szCs w:val="16"/>
        </w:rPr>
        <w:t xml:space="preserve">of this Privacy Notice from Infinite Options Counseling </w:t>
      </w:r>
    </w:p>
    <w:p w14:paraId="61AEED4B" w14:textId="14D70428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-Receive and inspect a copy of the health inf</w:t>
      </w:r>
      <w:r w:rsidR="00C648AF">
        <w:rPr>
          <w:sz w:val="16"/>
          <w:szCs w:val="16"/>
        </w:rPr>
        <w:t>ormation that Infinite Options Counseling</w:t>
      </w:r>
      <w:r w:rsidR="001A2987" w:rsidRPr="001A2987">
        <w:rPr>
          <w:sz w:val="16"/>
          <w:szCs w:val="16"/>
        </w:rPr>
        <w:t xml:space="preserve"> </w:t>
      </w:r>
      <w:r w:rsidRPr="001A2987">
        <w:rPr>
          <w:sz w:val="16"/>
          <w:szCs w:val="16"/>
        </w:rPr>
        <w:t>has about you and your child in most situations,</w:t>
      </w:r>
      <w:r w:rsidR="001A2987" w:rsidRPr="001A2987">
        <w:rPr>
          <w:sz w:val="16"/>
          <w:szCs w:val="16"/>
        </w:rPr>
        <w:t xml:space="preserve"> including medical and billing </w:t>
      </w:r>
      <w:r w:rsidRPr="001A2987">
        <w:rPr>
          <w:sz w:val="16"/>
          <w:szCs w:val="16"/>
        </w:rPr>
        <w:t>records.  You must submit your request in w</w:t>
      </w:r>
      <w:r w:rsidR="00C648AF">
        <w:rPr>
          <w:sz w:val="16"/>
          <w:szCs w:val="16"/>
        </w:rPr>
        <w:t>riting to Infinite Options Counseling</w:t>
      </w:r>
      <w:r w:rsidR="001A2987" w:rsidRPr="001A2987">
        <w:rPr>
          <w:sz w:val="16"/>
          <w:szCs w:val="16"/>
        </w:rPr>
        <w:t xml:space="preserve">, and </w:t>
      </w:r>
      <w:r w:rsidRPr="001A2987">
        <w:rPr>
          <w:sz w:val="16"/>
          <w:szCs w:val="16"/>
        </w:rPr>
        <w:t>include a time period for which your wish to rev</w:t>
      </w:r>
      <w:r w:rsidR="001A2987" w:rsidRPr="001A2987">
        <w:rPr>
          <w:sz w:val="16"/>
          <w:szCs w:val="16"/>
        </w:rPr>
        <w:t xml:space="preserve">iew your records.  Please note that you may </w:t>
      </w:r>
      <w:r w:rsidRPr="001A2987">
        <w:rPr>
          <w:sz w:val="16"/>
          <w:szCs w:val="16"/>
        </w:rPr>
        <w:t>be charged a reasonable fee, unles</w:t>
      </w:r>
      <w:r w:rsidR="001A2987" w:rsidRPr="001A2987">
        <w:rPr>
          <w:sz w:val="16"/>
          <w:szCs w:val="16"/>
        </w:rPr>
        <w:t xml:space="preserve">s a fee would prevent you from </w:t>
      </w:r>
      <w:r w:rsidRPr="001A2987">
        <w:rPr>
          <w:sz w:val="16"/>
          <w:szCs w:val="16"/>
        </w:rPr>
        <w:t xml:space="preserve">exercising this right.  </w:t>
      </w:r>
    </w:p>
    <w:p w14:paraId="6CA1C0A3" w14:textId="77777777" w:rsidR="00F463D5" w:rsidRDefault="00C648AF" w:rsidP="00071D92">
      <w:pPr>
        <w:pStyle w:val="Body"/>
        <w:rPr>
          <w:sz w:val="16"/>
          <w:szCs w:val="16"/>
        </w:rPr>
      </w:pPr>
      <w:r>
        <w:rPr>
          <w:sz w:val="16"/>
          <w:szCs w:val="16"/>
        </w:rPr>
        <w:t>-Request that Infintie Options Counseling</w:t>
      </w:r>
      <w:r w:rsidR="008663D5" w:rsidRPr="001A2987">
        <w:rPr>
          <w:sz w:val="16"/>
          <w:szCs w:val="16"/>
        </w:rPr>
        <w:t xml:space="preserve"> communicate</w:t>
      </w:r>
      <w:r w:rsidR="001A2987" w:rsidRPr="001A2987">
        <w:rPr>
          <w:sz w:val="16"/>
          <w:szCs w:val="16"/>
        </w:rPr>
        <w:t xml:space="preserve"> with you in confidence about </w:t>
      </w:r>
      <w:r w:rsidR="008663D5" w:rsidRPr="001A2987">
        <w:rPr>
          <w:sz w:val="16"/>
          <w:szCs w:val="16"/>
        </w:rPr>
        <w:t>you or your child’s PHI in a different means</w:t>
      </w:r>
      <w:r w:rsidR="001A2987">
        <w:rPr>
          <w:sz w:val="16"/>
          <w:szCs w:val="16"/>
        </w:rPr>
        <w:t>.</w:t>
      </w:r>
      <w:r w:rsidR="001A2987" w:rsidRPr="001A2987">
        <w:rPr>
          <w:sz w:val="16"/>
          <w:szCs w:val="16"/>
        </w:rPr>
        <w:t xml:space="preserve"> </w:t>
      </w:r>
      <w:r w:rsidR="008663D5" w:rsidRPr="001A2987">
        <w:rPr>
          <w:sz w:val="16"/>
          <w:szCs w:val="16"/>
        </w:rPr>
        <w:t>For example</w:t>
      </w:r>
      <w:r>
        <w:rPr>
          <w:sz w:val="16"/>
          <w:szCs w:val="16"/>
        </w:rPr>
        <w:t>, your may request that Melina Dominguez</w:t>
      </w:r>
      <w:r w:rsidR="001A2987">
        <w:rPr>
          <w:sz w:val="16"/>
          <w:szCs w:val="16"/>
        </w:rPr>
        <w:t xml:space="preserve"> </w:t>
      </w:r>
      <w:r w:rsidR="001A2987" w:rsidRPr="001A2987">
        <w:rPr>
          <w:sz w:val="16"/>
          <w:szCs w:val="16"/>
        </w:rPr>
        <w:t xml:space="preserve">contact you with </w:t>
      </w:r>
      <w:r w:rsidR="008663D5" w:rsidRPr="001A2987">
        <w:rPr>
          <w:sz w:val="16"/>
          <w:szCs w:val="16"/>
        </w:rPr>
        <w:t>confidential information only at work or by mail, o</w:t>
      </w:r>
      <w:r w:rsidR="001A2987" w:rsidRPr="001A2987">
        <w:rPr>
          <w:sz w:val="16"/>
          <w:szCs w:val="16"/>
        </w:rPr>
        <w:t xml:space="preserve">r communicate with you in your </w:t>
      </w:r>
      <w:r w:rsidR="008663D5" w:rsidRPr="001A2987">
        <w:rPr>
          <w:sz w:val="16"/>
          <w:szCs w:val="16"/>
        </w:rPr>
        <w:t>own language if you are non-english, or a limited-english speaker.</w:t>
      </w:r>
    </w:p>
    <w:p w14:paraId="31466542" w14:textId="14681D3C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lastRenderedPageBreak/>
        <w:t>-Obtain more information, or have your question</w:t>
      </w:r>
      <w:r w:rsidR="001A2987" w:rsidRPr="001A2987">
        <w:rPr>
          <w:sz w:val="16"/>
          <w:szCs w:val="16"/>
        </w:rPr>
        <w:t xml:space="preserve">s about your rights answered. </w:t>
      </w:r>
      <w:r w:rsidR="00C648AF">
        <w:rPr>
          <w:sz w:val="16"/>
          <w:szCs w:val="16"/>
        </w:rPr>
        <w:t>You may contact Melina Dominguez at (224)699-3888</w:t>
      </w:r>
      <w:r w:rsidRPr="001A2987">
        <w:rPr>
          <w:sz w:val="16"/>
          <w:szCs w:val="16"/>
        </w:rPr>
        <w:t>.</w:t>
      </w:r>
    </w:p>
    <w:p w14:paraId="74A76F0A" w14:textId="77777777" w:rsidR="008663D5" w:rsidRPr="001A2987" w:rsidRDefault="008663D5" w:rsidP="00071D92">
      <w:pPr>
        <w:pStyle w:val="Body"/>
        <w:rPr>
          <w:sz w:val="16"/>
          <w:szCs w:val="16"/>
        </w:rPr>
      </w:pPr>
    </w:p>
    <w:p w14:paraId="565BB935" w14:textId="77777777" w:rsidR="008663D5" w:rsidRPr="001A2987" w:rsidRDefault="008663D5" w:rsidP="00071D92">
      <w:pPr>
        <w:pStyle w:val="Body"/>
        <w:rPr>
          <w:b/>
          <w:bCs/>
          <w:sz w:val="16"/>
          <w:szCs w:val="16"/>
          <w:u w:val="single"/>
        </w:rPr>
      </w:pPr>
      <w:r w:rsidRPr="001A2987">
        <w:rPr>
          <w:b/>
          <w:bCs/>
          <w:sz w:val="16"/>
          <w:szCs w:val="16"/>
          <w:u w:val="single"/>
        </w:rPr>
        <w:t>Safe guards to assure privacy</w:t>
      </w:r>
    </w:p>
    <w:p w14:paraId="17DD19B9" w14:textId="7EAFF56C" w:rsidR="008663D5" w:rsidRPr="001A2987" w:rsidRDefault="00C648AF" w:rsidP="00071D92">
      <w:pPr>
        <w:pStyle w:val="Body"/>
        <w:rPr>
          <w:sz w:val="16"/>
          <w:szCs w:val="16"/>
        </w:rPr>
      </w:pPr>
      <w:r>
        <w:rPr>
          <w:sz w:val="16"/>
          <w:szCs w:val="16"/>
        </w:rPr>
        <w:t>Infinite Options Counseling</w:t>
      </w:r>
      <w:r w:rsidR="008663D5" w:rsidRPr="001A2987">
        <w:rPr>
          <w:sz w:val="16"/>
          <w:szCs w:val="16"/>
        </w:rPr>
        <w:t xml:space="preserve"> maintains:</w:t>
      </w:r>
    </w:p>
    <w:p w14:paraId="1764CE54" w14:textId="0BF1DC2E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-Stores all records and files containing PHI in a</w:t>
      </w:r>
      <w:r w:rsidR="001A2987" w:rsidRPr="001A2987">
        <w:rPr>
          <w:sz w:val="16"/>
          <w:szCs w:val="16"/>
        </w:rPr>
        <w:t xml:space="preserve"> private office in locked file </w:t>
      </w:r>
      <w:r w:rsidRPr="001A2987">
        <w:rPr>
          <w:sz w:val="16"/>
          <w:szCs w:val="16"/>
        </w:rPr>
        <w:t xml:space="preserve">cabinets.  </w:t>
      </w:r>
      <w:r w:rsidRPr="001A2987">
        <w:rPr>
          <w:sz w:val="16"/>
          <w:szCs w:val="16"/>
        </w:rPr>
        <w:tab/>
      </w:r>
      <w:r w:rsidRPr="001A2987">
        <w:rPr>
          <w:sz w:val="16"/>
          <w:szCs w:val="16"/>
        </w:rPr>
        <w:tab/>
      </w:r>
    </w:p>
    <w:p w14:paraId="114C216B" w14:textId="2EFF8C6F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-When such documents containing PHI are in use in</w:t>
      </w:r>
      <w:r w:rsidR="001A2987" w:rsidRPr="001A2987">
        <w:rPr>
          <w:sz w:val="16"/>
          <w:szCs w:val="16"/>
        </w:rPr>
        <w:t xml:space="preserve"> the office, they will be kept </w:t>
      </w:r>
      <w:r w:rsidRPr="001A2987">
        <w:rPr>
          <w:sz w:val="16"/>
          <w:szCs w:val="16"/>
        </w:rPr>
        <w:t>secured by turning the top page over, or by placin</w:t>
      </w:r>
      <w:r w:rsidR="001A2987" w:rsidRPr="001A2987">
        <w:rPr>
          <w:sz w:val="16"/>
          <w:szCs w:val="16"/>
        </w:rPr>
        <w:t xml:space="preserve">g a cover sheet on top of the </w:t>
      </w:r>
      <w:r w:rsidRPr="001A2987">
        <w:rPr>
          <w:sz w:val="16"/>
          <w:szCs w:val="16"/>
        </w:rPr>
        <w:t xml:space="preserve">document to prohibit unauthorized persons from accessing/reading PHI. </w:t>
      </w:r>
    </w:p>
    <w:p w14:paraId="30AAC27D" w14:textId="26DE3CA4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-A fax machine located in a private office that is restricted in use</w:t>
      </w:r>
      <w:r w:rsidR="001A2987" w:rsidRPr="001A2987">
        <w:rPr>
          <w:sz w:val="16"/>
          <w:szCs w:val="16"/>
        </w:rPr>
        <w:t xml:space="preserve"> by employees </w:t>
      </w:r>
      <w:r w:rsidRPr="001A2987">
        <w:rPr>
          <w:sz w:val="16"/>
          <w:szCs w:val="16"/>
        </w:rPr>
        <w:t>only.  A confidential cover sheet is used whe</w:t>
      </w:r>
      <w:r w:rsidR="001A2987">
        <w:rPr>
          <w:sz w:val="16"/>
          <w:szCs w:val="16"/>
        </w:rPr>
        <w:t xml:space="preserve">n faxing PHI to an individual </w:t>
      </w:r>
      <w:r w:rsidRPr="001A2987">
        <w:rPr>
          <w:sz w:val="16"/>
          <w:szCs w:val="16"/>
        </w:rPr>
        <w:t>outside of the office.</w:t>
      </w:r>
    </w:p>
    <w:p w14:paraId="21F40D3A" w14:textId="7E01D6FB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-A printer located in the private office that is restricted for use of employees only.</w:t>
      </w:r>
    </w:p>
    <w:p w14:paraId="2D099B14" w14:textId="737818EA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-Document d</w:t>
      </w:r>
      <w:r w:rsidR="00C648AF">
        <w:rPr>
          <w:sz w:val="16"/>
          <w:szCs w:val="16"/>
        </w:rPr>
        <w:t>isposal, whereby Infinite Options Counseling</w:t>
      </w:r>
      <w:r w:rsidRPr="001A2987">
        <w:rPr>
          <w:sz w:val="16"/>
          <w:szCs w:val="16"/>
        </w:rPr>
        <w:t xml:space="preserve"> will shr</w:t>
      </w:r>
      <w:r w:rsidR="001A2987" w:rsidRPr="001A2987">
        <w:rPr>
          <w:sz w:val="16"/>
          <w:szCs w:val="16"/>
        </w:rPr>
        <w:t xml:space="preserve">ed documents on a </w:t>
      </w:r>
      <w:r w:rsidRPr="001A2987">
        <w:rPr>
          <w:sz w:val="16"/>
          <w:szCs w:val="16"/>
        </w:rPr>
        <w:t>needed basis.  PHI will be stored in a locked file c</w:t>
      </w:r>
      <w:r w:rsidR="001A2987" w:rsidRPr="001A2987">
        <w:rPr>
          <w:sz w:val="16"/>
          <w:szCs w:val="16"/>
        </w:rPr>
        <w:t xml:space="preserve">abinet until the shredding is </w:t>
      </w:r>
      <w:r w:rsidRPr="001A2987">
        <w:rPr>
          <w:sz w:val="16"/>
          <w:szCs w:val="16"/>
        </w:rPr>
        <w:t xml:space="preserve">complete. </w:t>
      </w:r>
    </w:p>
    <w:p w14:paraId="648F1260" w14:textId="77777777" w:rsidR="008663D5" w:rsidRPr="001A2987" w:rsidRDefault="008663D5" w:rsidP="00071D92">
      <w:pPr>
        <w:pStyle w:val="Body"/>
        <w:rPr>
          <w:sz w:val="16"/>
          <w:szCs w:val="16"/>
        </w:rPr>
      </w:pPr>
    </w:p>
    <w:p w14:paraId="5FC0CAFC" w14:textId="5A3C011E" w:rsidR="008663D5" w:rsidRPr="001A2987" w:rsidRDefault="00C648AF" w:rsidP="00071D92">
      <w:pPr>
        <w:pStyle w:val="Body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Infinite Options Counseling</w:t>
      </w:r>
      <w:r w:rsidR="008663D5" w:rsidRPr="001A2987">
        <w:rPr>
          <w:b/>
          <w:bCs/>
          <w:sz w:val="16"/>
          <w:szCs w:val="16"/>
          <w:u w:val="single"/>
        </w:rPr>
        <w:t xml:space="preserve"> Requirements</w:t>
      </w:r>
    </w:p>
    <w:p w14:paraId="023804C9" w14:textId="6A067252" w:rsidR="008663D5" w:rsidRPr="001A2987" w:rsidRDefault="00C648AF" w:rsidP="00071D92">
      <w:pPr>
        <w:pStyle w:val="Body"/>
        <w:rPr>
          <w:sz w:val="16"/>
          <w:szCs w:val="16"/>
        </w:rPr>
      </w:pPr>
      <w:r>
        <w:rPr>
          <w:sz w:val="16"/>
          <w:szCs w:val="16"/>
        </w:rPr>
        <w:t>Infinite Options Counseling</w:t>
      </w:r>
      <w:r w:rsidR="008663D5" w:rsidRPr="001A2987">
        <w:rPr>
          <w:sz w:val="16"/>
          <w:szCs w:val="16"/>
        </w:rPr>
        <w:t>:</w:t>
      </w:r>
    </w:p>
    <w:p w14:paraId="3A1C4153" w14:textId="2A109052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-Is required by federal law to maintain the privacy o</w:t>
      </w:r>
      <w:r w:rsidR="001A2987" w:rsidRPr="001A2987">
        <w:rPr>
          <w:sz w:val="16"/>
          <w:szCs w:val="16"/>
        </w:rPr>
        <w:t xml:space="preserve">f your PHI and to provide you </w:t>
      </w:r>
      <w:r w:rsidRPr="001A2987">
        <w:rPr>
          <w:sz w:val="16"/>
          <w:szCs w:val="16"/>
        </w:rPr>
        <w:t>with the Privacy Notice detailing our legal duties and</w:t>
      </w:r>
      <w:r w:rsidR="001A2987">
        <w:rPr>
          <w:sz w:val="16"/>
          <w:szCs w:val="16"/>
        </w:rPr>
        <w:t xml:space="preserve"> privacy practice with respect </w:t>
      </w:r>
      <w:r w:rsidRPr="001A2987">
        <w:rPr>
          <w:sz w:val="16"/>
          <w:szCs w:val="16"/>
        </w:rPr>
        <w:t>to your PHI.</w:t>
      </w:r>
    </w:p>
    <w:p w14:paraId="6902F0BB" w14:textId="67A7BC16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-Is required to abide by the terms of the Privacy Notice.</w:t>
      </w:r>
    </w:p>
    <w:p w14:paraId="30DA3623" w14:textId="5B9C6945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 xml:space="preserve">-Reserves the right to change the terms of this </w:t>
      </w:r>
      <w:r w:rsidR="001A2987">
        <w:rPr>
          <w:sz w:val="16"/>
          <w:szCs w:val="16"/>
        </w:rPr>
        <w:t xml:space="preserve">Privacy Notice and to make the </w:t>
      </w:r>
      <w:r w:rsidRPr="001A2987">
        <w:rPr>
          <w:sz w:val="16"/>
          <w:szCs w:val="16"/>
        </w:rPr>
        <w:t>new Privacy Notice provisions effect for your entire PHI that it maintains.</w:t>
      </w:r>
    </w:p>
    <w:p w14:paraId="3E5BAE63" w14:textId="56569863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-Will distribute any revised Privacy Notice to you prior to implementation.</w:t>
      </w:r>
    </w:p>
    <w:p w14:paraId="5E3DE55A" w14:textId="53210420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-Will not retaliate against you for filing a complaint.</w:t>
      </w:r>
    </w:p>
    <w:p w14:paraId="0794A24A" w14:textId="77777777" w:rsidR="008663D5" w:rsidRPr="001A2987" w:rsidRDefault="008663D5" w:rsidP="00071D92">
      <w:pPr>
        <w:pStyle w:val="Body"/>
        <w:rPr>
          <w:b/>
          <w:bCs/>
          <w:sz w:val="16"/>
          <w:szCs w:val="16"/>
          <w:u w:val="single"/>
        </w:rPr>
      </w:pPr>
    </w:p>
    <w:p w14:paraId="6C229645" w14:textId="77777777" w:rsidR="008663D5" w:rsidRPr="001A2987" w:rsidRDefault="008663D5" w:rsidP="00071D92">
      <w:pPr>
        <w:pStyle w:val="Body"/>
        <w:rPr>
          <w:b/>
          <w:bCs/>
          <w:sz w:val="16"/>
          <w:szCs w:val="16"/>
          <w:u w:val="single"/>
        </w:rPr>
      </w:pPr>
      <w:r w:rsidRPr="001A2987">
        <w:rPr>
          <w:b/>
          <w:bCs/>
          <w:sz w:val="16"/>
          <w:szCs w:val="16"/>
          <w:u w:val="single"/>
        </w:rPr>
        <w:t>Right to file a compaint</w:t>
      </w:r>
    </w:p>
    <w:p w14:paraId="05EBC769" w14:textId="77777777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Every client will be informed of grievance procedures.  Staff will assist clients in making known their grievances according to established procedures.  Grievances can be addressed to:</w:t>
      </w:r>
    </w:p>
    <w:p w14:paraId="414DC1D0" w14:textId="77777777" w:rsidR="008663D5" w:rsidRPr="001A2987" w:rsidRDefault="008663D5" w:rsidP="00071D92">
      <w:pPr>
        <w:pStyle w:val="Body"/>
        <w:rPr>
          <w:sz w:val="16"/>
          <w:szCs w:val="16"/>
        </w:rPr>
      </w:pPr>
    </w:p>
    <w:p w14:paraId="5F112B04" w14:textId="77777777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Office for Civil Rights</w:t>
      </w:r>
    </w:p>
    <w:p w14:paraId="30AC2C38" w14:textId="77777777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U.S. Department of Health &amp; Human Services</w:t>
      </w:r>
    </w:p>
    <w:p w14:paraId="58292C2C" w14:textId="77777777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233 N. Michigan Ave.-Suite 240</w:t>
      </w:r>
    </w:p>
    <w:p w14:paraId="3E9066EE" w14:textId="77777777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Chicago, IL 60601</w:t>
      </w:r>
    </w:p>
    <w:p w14:paraId="44C99539" w14:textId="77777777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(312)886-2359; (312)353-5693 (TDD)</w:t>
      </w:r>
    </w:p>
    <w:p w14:paraId="046E809B" w14:textId="77777777" w:rsidR="008663D5" w:rsidRPr="001A2987" w:rsidRDefault="008663D5" w:rsidP="00071D92">
      <w:pPr>
        <w:pStyle w:val="Body"/>
        <w:rPr>
          <w:sz w:val="16"/>
          <w:szCs w:val="16"/>
        </w:rPr>
      </w:pPr>
      <w:r w:rsidRPr="001A2987">
        <w:rPr>
          <w:sz w:val="16"/>
          <w:szCs w:val="16"/>
        </w:rPr>
        <w:t>(312)886-1807 fax</w:t>
      </w:r>
    </w:p>
    <w:p w14:paraId="1E486612" w14:textId="4F38040C" w:rsidR="008663D5" w:rsidRPr="001A2987" w:rsidRDefault="00F463D5" w:rsidP="00071D92">
      <w:pPr>
        <w:pStyle w:val="Body"/>
        <w:rPr>
          <w:sz w:val="16"/>
          <w:szCs w:val="16"/>
        </w:rPr>
      </w:pPr>
      <w:r>
        <w:rPr>
          <w:sz w:val="16"/>
          <w:szCs w:val="16"/>
        </w:rPr>
        <w:t xml:space="preserve">Effective Date:  </w:t>
      </w:r>
      <w:r w:rsidR="00C648AF">
        <w:rPr>
          <w:sz w:val="16"/>
          <w:szCs w:val="16"/>
        </w:rPr>
        <w:t>January 2020</w:t>
      </w:r>
    </w:p>
    <w:p w14:paraId="2A2CC0F8" w14:textId="3028A885" w:rsidR="008663D5" w:rsidRPr="00071D92" w:rsidRDefault="008663D5" w:rsidP="00071D92">
      <w:pPr>
        <w:pStyle w:val="Body"/>
        <w:rPr>
          <w:sz w:val="22"/>
          <w:szCs w:val="22"/>
        </w:rPr>
      </w:pPr>
    </w:p>
    <w:sectPr w:rsidR="008663D5" w:rsidRPr="00071D92" w:rsidSect="00071D92">
      <w:type w:val="continuous"/>
      <w:pgSz w:w="12240" w:h="15840"/>
      <w:pgMar w:top="720" w:right="720" w:bottom="720" w:left="720" w:header="1440" w:footer="1440" w:gutter="0"/>
      <w:pgNumType w:start="1"/>
      <w:cols w:space="720" w:equalWidth="0">
        <w:col w:w="8856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3"/>
  <w:displayHorizontalDrawingGridEvery w:val="0"/>
  <w:displayVerticalDrawingGridEvery w:val="2"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59"/>
    <w:rsid w:val="00071D92"/>
    <w:rsid w:val="00081E3C"/>
    <w:rsid w:val="001A2987"/>
    <w:rsid w:val="00277515"/>
    <w:rsid w:val="002C2E3E"/>
    <w:rsid w:val="003D5415"/>
    <w:rsid w:val="004E1059"/>
    <w:rsid w:val="0082203F"/>
    <w:rsid w:val="008663D5"/>
    <w:rsid w:val="0094102A"/>
    <w:rsid w:val="00AF18F6"/>
    <w:rsid w:val="00B12217"/>
    <w:rsid w:val="00B20238"/>
    <w:rsid w:val="00B21DA0"/>
    <w:rsid w:val="00BC4B2E"/>
    <w:rsid w:val="00C648AF"/>
    <w:rsid w:val="00F463D5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B9F2A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71D92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D92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D92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D92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D92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D92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D92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D92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D9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D9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 w:cs="Helvetica"/>
      <w:noProof/>
      <w:color w:val="000000"/>
      <w:sz w:val="24"/>
      <w:szCs w:val="24"/>
      <w:lang w:bidi="en-US"/>
    </w:rPr>
  </w:style>
  <w:style w:type="character" w:customStyle="1" w:styleId="Hidden0">
    <w:name w:val="Hidden0"/>
    <w:rPr>
      <w:rFonts w:ascii="Helvetica" w:hAnsi="Helvetica" w:cs="Helvetica"/>
      <w:color w:val="000000"/>
      <w:position w:val="0"/>
      <w:sz w:val="24"/>
      <w:szCs w:val="24"/>
      <w:em w:val="none"/>
    </w:rPr>
  </w:style>
  <w:style w:type="character" w:customStyle="1" w:styleId="DefaultSS">
    <w:name w:val="Default SS"/>
    <w:rPr>
      <w:rFonts w:ascii="Geneva" w:hAnsi="Geneva" w:cs="Geneva"/>
      <w:color w:val="000000"/>
      <w:position w:val="0"/>
      <w:sz w:val="18"/>
      <w:szCs w:val="18"/>
      <w:em w:val="none"/>
    </w:rPr>
  </w:style>
  <w:style w:type="paragraph" w:customStyle="1" w:styleId="DefaultTB">
    <w:name w:val="Default TB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 w:cs="Helvetica"/>
      <w:noProof/>
      <w:color w:val="000000"/>
      <w:sz w:val="24"/>
      <w:szCs w:val="24"/>
      <w:lang w:bidi="en-US"/>
    </w:rPr>
  </w:style>
  <w:style w:type="paragraph" w:styleId="Header">
    <w:name w:val="header"/>
    <w:basedOn w:val="Normal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Helvetica" w:hAnsi="Helvetica" w:cs="Helvetica"/>
      <w:b/>
      <w:bCs/>
      <w:noProof/>
      <w:color w:val="000000"/>
      <w:sz w:val="28"/>
      <w:szCs w:val="28"/>
      <w:lang w:bidi="en-US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 w:cs="Helvetica"/>
      <w:noProof/>
      <w:color w:val="000000"/>
      <w:sz w:val="24"/>
      <w:szCs w:val="24"/>
      <w:lang w:bidi="en-US"/>
    </w:rPr>
  </w:style>
  <w:style w:type="paragraph" w:styleId="Footer">
    <w:name w:val="footer"/>
    <w:basedOn w:val="Normal"/>
    <w:semiHidden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hAnsi="Helvetica" w:cs="Helvetica"/>
      <w:i/>
      <w:iCs w:val="0"/>
      <w:noProof/>
      <w:color w:val="000000"/>
      <w:lang w:bidi="en-US"/>
    </w:rPr>
  </w:style>
  <w:style w:type="paragraph" w:customStyle="1" w:styleId="Footnote">
    <w:name w:val="Footnote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 w:cs="Helvetica"/>
      <w:noProof/>
      <w:color w:val="000000"/>
      <w:lang w:bidi="en-US"/>
    </w:rPr>
  </w:style>
  <w:style w:type="character" w:customStyle="1" w:styleId="FootnoteIndex">
    <w:name w:val="Footnote Index"/>
    <w:rPr>
      <w:rFonts w:ascii="Helvetica" w:hAnsi="Helvetica" w:cs="Helvetica"/>
      <w:color w:val="000000"/>
      <w:position w:val="0"/>
      <w:sz w:val="24"/>
      <w:szCs w:val="24"/>
      <w:vertAlign w:val="superscript"/>
      <w:em w:val="none"/>
    </w:rPr>
  </w:style>
  <w:style w:type="paragraph" w:customStyle="1" w:styleId="Hidden1">
    <w:name w:val="Hidden1"/>
    <w:basedOn w:val="Body"/>
  </w:style>
  <w:style w:type="character" w:customStyle="1" w:styleId="Hidden2">
    <w:name w:val="Hidden2"/>
    <w:rPr>
      <w:rFonts w:ascii="Helvetica" w:hAnsi="Helvetica" w:cs="Helvetica"/>
      <w:color w:val="000000"/>
      <w:position w:val="0"/>
      <w:sz w:val="24"/>
      <w:szCs w:val="24"/>
      <w:em w:val="none"/>
    </w:rPr>
  </w:style>
  <w:style w:type="character" w:customStyle="1" w:styleId="Hidden3">
    <w:name w:val="Hidden3"/>
    <w:rPr>
      <w:rFonts w:ascii="Helvetica" w:hAnsi="Helvetica" w:cs="Helvetica"/>
      <w:b/>
      <w:bCs/>
      <w:color w:val="000000"/>
      <w:position w:val="0"/>
      <w:sz w:val="24"/>
      <w:szCs w:val="24"/>
      <w:em w:val="none"/>
    </w:rPr>
  </w:style>
  <w:style w:type="character" w:customStyle="1" w:styleId="Hidden4">
    <w:name w:val="Hidden4"/>
    <w:rPr>
      <w:rFonts w:ascii="Helvetica" w:hAnsi="Helvetica" w:cs="Helvetica"/>
      <w:color w:val="000000"/>
      <w:position w:val="0"/>
      <w:sz w:val="24"/>
      <w:szCs w:val="24"/>
      <w:u w:val="single"/>
      <w:em w:val="none"/>
    </w:rPr>
  </w:style>
  <w:style w:type="character" w:customStyle="1" w:styleId="Hidden5">
    <w:name w:val="Hidden5"/>
    <w:rPr>
      <w:rFonts w:ascii="Helvetica" w:hAnsi="Helvetica" w:cs="Helvetica"/>
      <w:color w:val="000000"/>
      <w:position w:val="0"/>
      <w:sz w:val="24"/>
      <w:szCs w:val="24"/>
      <w:u w:val="single"/>
      <w:em w:val="none"/>
    </w:rPr>
  </w:style>
  <w:style w:type="character" w:customStyle="1" w:styleId="Hidden6">
    <w:name w:val="Hidden6"/>
    <w:rPr>
      <w:rFonts w:ascii="Helvetica" w:hAnsi="Helvetica" w:cs="Helvetica"/>
      <w:b/>
      <w:bCs/>
      <w:color w:val="000000"/>
      <w:position w:val="0"/>
      <w:sz w:val="24"/>
      <w:szCs w:val="24"/>
      <w:u w:val="single"/>
      <w:em w:val="none"/>
    </w:rPr>
  </w:style>
  <w:style w:type="character" w:customStyle="1" w:styleId="Hidden7">
    <w:name w:val="Hidden7"/>
    <w:rPr>
      <w:rFonts w:ascii="Helvetica" w:hAnsi="Helvetica" w:cs="Helvetica"/>
      <w:b/>
      <w:bCs/>
      <w:color w:val="000000"/>
      <w:position w:val="0"/>
      <w:sz w:val="24"/>
      <w:szCs w:val="24"/>
      <w:em w:val="none"/>
    </w:rPr>
  </w:style>
  <w:style w:type="character" w:customStyle="1" w:styleId="Hidden8">
    <w:name w:val="Hidden8"/>
    <w:rPr>
      <w:rFonts w:ascii="Helvetica" w:hAnsi="Helvetica" w:cs="Helvetica"/>
      <w:b/>
      <w:bCs/>
      <w:color w:val="000000"/>
      <w:position w:val="0"/>
      <w:sz w:val="24"/>
      <w:szCs w:val="24"/>
      <w:u w:val="single"/>
      <w:em w:val="none"/>
    </w:rPr>
  </w:style>
  <w:style w:type="character" w:customStyle="1" w:styleId="Hidden9">
    <w:name w:val="Hidden9"/>
    <w:rPr>
      <w:rFonts w:ascii="Helvetica" w:hAnsi="Helvetica" w:cs="Helvetica"/>
      <w:b/>
      <w:bCs/>
      <w:color w:val="000000"/>
      <w:position w:val="0"/>
      <w:sz w:val="24"/>
      <w:szCs w:val="24"/>
      <w:u w:val="single"/>
      <w:em w:val="none"/>
    </w:rPr>
  </w:style>
  <w:style w:type="character" w:customStyle="1" w:styleId="Hidden10">
    <w:name w:val="Hidden10"/>
    <w:rPr>
      <w:rFonts w:ascii="Helvetica" w:hAnsi="Helvetica" w:cs="Helvetica"/>
      <w:b/>
      <w:bCs/>
      <w:color w:val="000000"/>
      <w:position w:val="0"/>
      <w:sz w:val="24"/>
      <w:szCs w:val="24"/>
      <w:u w:val="single"/>
      <w:em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71D92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D92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D92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D92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D92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D92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D92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D9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D92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1D9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71D92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071D92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071D92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D92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071D92"/>
    <w:rPr>
      <w:b/>
      <w:bCs/>
      <w:spacing w:val="0"/>
    </w:rPr>
  </w:style>
  <w:style w:type="character" w:styleId="Emphasis">
    <w:name w:val="Emphasis"/>
    <w:uiPriority w:val="20"/>
    <w:qFormat/>
    <w:rsid w:val="00071D92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071D9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71D92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071D92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71D92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071D92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D9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D9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071D92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071D9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071D9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071D9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071D92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1D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5EE9F9-8C76-1745-930C-0540AA70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759</Words>
  <Characters>4329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Privacy Practices</vt:lpstr>
    </vt:vector>
  </TitlesOfParts>
  <Company>LSSI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Privacy Practices</dc:title>
  <dc:subject/>
  <dc:creator>Stephanie Carey-Aden</dc:creator>
  <cp:keywords/>
  <dc:description/>
  <cp:lastModifiedBy>Melina Dominguez</cp:lastModifiedBy>
  <cp:revision>4</cp:revision>
  <cp:lastPrinted>2017-12-14T03:11:00Z</cp:lastPrinted>
  <dcterms:created xsi:type="dcterms:W3CDTF">2020-01-07T18:14:00Z</dcterms:created>
  <dcterms:modified xsi:type="dcterms:W3CDTF">2020-01-07T18:26:00Z</dcterms:modified>
</cp:coreProperties>
</file>