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3A74A3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C951DB" w:rsidRPr="00C951DB">
        <w:rPr>
          <w:rFonts w:asciiTheme="minorHAnsi" w:hAnsiTheme="minorHAnsi" w:cstheme="minorHAnsi"/>
          <w:b/>
          <w:iCs/>
          <w:sz w:val="28"/>
          <w:szCs w:val="28"/>
        </w:rPr>
        <w:t>Person Centred</w:t>
      </w:r>
      <w:r w:rsidR="00C951D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0E17E4" w:rsidRPr="000E17E4">
        <w:rPr>
          <w:rFonts w:asciiTheme="minorHAnsi" w:hAnsiTheme="minorHAnsi" w:cstheme="minorHAnsi"/>
          <w:b/>
          <w:iCs/>
          <w:sz w:val="28"/>
          <w:szCs w:val="28"/>
        </w:rPr>
        <w:t>Care Planning</w:t>
      </w: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0E17E4" w:rsidRPr="000E17E4">
        <w:rPr>
          <w:rFonts w:asciiTheme="minorHAnsi" w:hAnsiTheme="minorHAnsi" w:cstheme="minorHAnsi"/>
        </w:rPr>
        <w:t>legal and regulatory framework relating to person centred approaches to care planning and delivery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E17E4" w:rsidRPr="000E17E4">
        <w:rPr>
          <w:rFonts w:asciiTheme="minorHAnsi" w:hAnsiTheme="minorHAnsi" w:cstheme="minorHAnsi"/>
        </w:rPr>
        <w:t>pproaches to person-centred care and its impact on well being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E17E4" w:rsidRPr="000E17E4">
        <w:rPr>
          <w:rFonts w:asciiTheme="minorHAnsi" w:hAnsiTheme="minorHAnsi" w:cstheme="minorHAnsi"/>
        </w:rPr>
        <w:t>enefits of planning and delivering care in a person-centred way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E17E4" w:rsidRPr="000E17E4">
        <w:rPr>
          <w:rFonts w:asciiTheme="minorHAnsi" w:hAnsiTheme="minorHAnsi" w:cstheme="minorHAnsi"/>
        </w:rPr>
        <w:t>tart producing person-centred care plans using the ADL’s, and required cross referencing to risk assessments and other care plans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</w:t>
      </w:r>
      <w:r w:rsidR="000E17E4" w:rsidRPr="000E17E4">
        <w:rPr>
          <w:rFonts w:asciiTheme="minorHAnsi" w:hAnsiTheme="minorHAnsi" w:cstheme="minorHAnsi"/>
        </w:rPr>
        <w:t>personal barriers to use of person-centred approach to care planning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E17E4" w:rsidRPr="000E17E4">
        <w:rPr>
          <w:rFonts w:asciiTheme="minorHAnsi" w:hAnsiTheme="minorHAnsi" w:cstheme="minorHAnsi"/>
        </w:rPr>
        <w:t>dentify barriers to the person-centred approach in their colleagues and start to help them overcome these</w:t>
      </w:r>
    </w:p>
    <w:p w:rsidR="000E17E4" w:rsidRPr="000E17E4" w:rsidRDefault="00C951DB" w:rsidP="000E17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E17E4" w:rsidRPr="000E17E4">
        <w:rPr>
          <w:rFonts w:asciiTheme="minorHAnsi" w:hAnsiTheme="minorHAnsi" w:cstheme="minorHAnsi"/>
        </w:rPr>
        <w:t>eflect on practice and its impact on the people they support</w:t>
      </w:r>
    </w:p>
    <w:p w:rsidR="00C81ABE" w:rsidRDefault="00C81ABE" w:rsidP="00C81AB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C81ABE" w:rsidRPr="002A49AC" w:rsidRDefault="00C81ABE" w:rsidP="00C81AB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3A74A3">
        <w:rPr>
          <w:rFonts w:asciiTheme="minorHAnsi" w:hAnsiTheme="minorHAnsi" w:cstheme="minorHAnsi"/>
          <w:i/>
          <w:iCs/>
        </w:rPr>
        <w:t>with people</w:t>
      </w:r>
      <w:r w:rsidR="00C951DB">
        <w:rPr>
          <w:rFonts w:asciiTheme="minorHAnsi" w:hAnsiTheme="minorHAnsi" w:cstheme="minorHAnsi"/>
          <w:i/>
          <w:iCs/>
        </w:rPr>
        <w:t xml:space="preserve"> in a variety of environments,</w:t>
      </w:r>
      <w:r>
        <w:rPr>
          <w:rFonts w:asciiTheme="minorHAnsi" w:hAnsiTheme="minorHAnsi" w:cstheme="minorHAnsi"/>
          <w:i/>
          <w:iCs/>
        </w:rPr>
        <w:t xml:space="preserve">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bookmarkStart w:id="0" w:name="_GoBack"/>
      <w:bookmarkEnd w:id="0"/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3A74A3">
        <w:rPr>
          <w:rFonts w:asciiTheme="minorHAnsi" w:hAnsiTheme="minorHAnsi" w:cstheme="minorHAnsi"/>
          <w:i/>
          <w:iCs/>
        </w:rPr>
        <w:t>8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</w:t>
      </w:r>
      <w:r w:rsidR="00C81ABE">
        <w:rPr>
          <w:rFonts w:asciiTheme="minorHAnsi" w:hAnsiTheme="minorHAnsi" w:cstheme="minorHAnsi"/>
          <w:i/>
          <w:iCs/>
        </w:rPr>
        <w:t>six</w:t>
      </w:r>
      <w:r w:rsidR="00083744" w:rsidRPr="00AC2D70">
        <w:rPr>
          <w:rFonts w:asciiTheme="minorHAnsi" w:hAnsiTheme="minorHAnsi" w:cstheme="minorHAnsi"/>
          <w:i/>
          <w:iCs/>
        </w:rPr>
        <w:t xml:space="preserve">-hour course, including an assessment of </w:t>
      </w:r>
      <w:r w:rsidR="00C81ABE">
        <w:rPr>
          <w:rFonts w:asciiTheme="minorHAnsi" w:hAnsiTheme="minorHAnsi" w:cstheme="minorHAnsi"/>
          <w:i/>
          <w:iCs/>
        </w:rPr>
        <w:t>understanding and a refle</w:t>
      </w:r>
      <w:r w:rsidR="00873223">
        <w:rPr>
          <w:rFonts w:asciiTheme="minorHAnsi" w:hAnsiTheme="minorHAnsi" w:cstheme="minorHAnsi"/>
          <w:i/>
          <w:iCs/>
        </w:rPr>
        <w:t>ctive session</w:t>
      </w:r>
      <w:r w:rsidR="00E27F02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29" w:rsidRDefault="00BB1729" w:rsidP="00672398">
      <w:r>
        <w:separator/>
      </w:r>
    </w:p>
  </w:endnote>
  <w:endnote w:type="continuationSeparator" w:id="0">
    <w:p w:rsidR="00BB1729" w:rsidRDefault="00BB1729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BB1729">
    <w:pPr>
      <w:pStyle w:val="Footer"/>
    </w:pPr>
  </w:p>
  <w:p w:rsidR="0047670A" w:rsidRDefault="00BB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29" w:rsidRDefault="00BB1729" w:rsidP="00672398">
      <w:r>
        <w:separator/>
      </w:r>
    </w:p>
  </w:footnote>
  <w:footnote w:type="continuationSeparator" w:id="0">
    <w:p w:rsidR="00BB1729" w:rsidRDefault="00BB1729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BBA"/>
    <w:multiLevelType w:val="hybridMultilevel"/>
    <w:tmpl w:val="DE224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86E"/>
    <w:multiLevelType w:val="hybridMultilevel"/>
    <w:tmpl w:val="1B6AF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B28BC"/>
    <w:multiLevelType w:val="hybridMultilevel"/>
    <w:tmpl w:val="E0A6C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17E4"/>
    <w:rsid w:val="000E64C6"/>
    <w:rsid w:val="000F4E31"/>
    <w:rsid w:val="000F764D"/>
    <w:rsid w:val="001446AA"/>
    <w:rsid w:val="001550E9"/>
    <w:rsid w:val="00222121"/>
    <w:rsid w:val="00281519"/>
    <w:rsid w:val="00297E58"/>
    <w:rsid w:val="002A423C"/>
    <w:rsid w:val="002A49AC"/>
    <w:rsid w:val="002B3B67"/>
    <w:rsid w:val="003633E1"/>
    <w:rsid w:val="003A34E7"/>
    <w:rsid w:val="003A74A3"/>
    <w:rsid w:val="003A7901"/>
    <w:rsid w:val="00450986"/>
    <w:rsid w:val="00465837"/>
    <w:rsid w:val="004B207B"/>
    <w:rsid w:val="004E2856"/>
    <w:rsid w:val="004E731E"/>
    <w:rsid w:val="0051101C"/>
    <w:rsid w:val="0052755A"/>
    <w:rsid w:val="00554603"/>
    <w:rsid w:val="00586FA7"/>
    <w:rsid w:val="005A3C0F"/>
    <w:rsid w:val="005C64D0"/>
    <w:rsid w:val="005E399D"/>
    <w:rsid w:val="0064216B"/>
    <w:rsid w:val="00642D8C"/>
    <w:rsid w:val="006455DB"/>
    <w:rsid w:val="00672398"/>
    <w:rsid w:val="006A1118"/>
    <w:rsid w:val="006B5832"/>
    <w:rsid w:val="006C4352"/>
    <w:rsid w:val="00706635"/>
    <w:rsid w:val="00715BA4"/>
    <w:rsid w:val="007216ED"/>
    <w:rsid w:val="007346A8"/>
    <w:rsid w:val="00804B8A"/>
    <w:rsid w:val="00873223"/>
    <w:rsid w:val="008971CB"/>
    <w:rsid w:val="008A5B1B"/>
    <w:rsid w:val="008E51EC"/>
    <w:rsid w:val="009069AA"/>
    <w:rsid w:val="00937917"/>
    <w:rsid w:val="009A4501"/>
    <w:rsid w:val="00A145FF"/>
    <w:rsid w:val="00A86692"/>
    <w:rsid w:val="00AC2D70"/>
    <w:rsid w:val="00AF6AAC"/>
    <w:rsid w:val="00AF7ED4"/>
    <w:rsid w:val="00B51A77"/>
    <w:rsid w:val="00BB1729"/>
    <w:rsid w:val="00BC4D45"/>
    <w:rsid w:val="00BE4572"/>
    <w:rsid w:val="00C10693"/>
    <w:rsid w:val="00C81ABE"/>
    <w:rsid w:val="00C91B45"/>
    <w:rsid w:val="00C951DB"/>
    <w:rsid w:val="00CB3A4B"/>
    <w:rsid w:val="00D74FBA"/>
    <w:rsid w:val="00D92F09"/>
    <w:rsid w:val="00DA6AF8"/>
    <w:rsid w:val="00DB27F2"/>
    <w:rsid w:val="00E27F02"/>
    <w:rsid w:val="00EC06E1"/>
    <w:rsid w:val="00ED284F"/>
    <w:rsid w:val="00F00308"/>
    <w:rsid w:val="00F061CB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D253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2019-03-21T12:34:00Z</cp:lastPrinted>
  <dcterms:created xsi:type="dcterms:W3CDTF">2019-03-21T15:16:00Z</dcterms:created>
  <dcterms:modified xsi:type="dcterms:W3CDTF">2019-03-21T15:16:00Z</dcterms:modified>
</cp:coreProperties>
</file>