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6A0ED" w14:textId="77777777" w:rsidR="00153318" w:rsidRDefault="00573083">
      <w:pPr>
        <w:spacing w:after="40"/>
      </w:pPr>
      <w:r>
        <w:rPr>
          <w:b/>
          <w:color w:val="C49A24"/>
          <w:sz w:val="22"/>
        </w:rPr>
        <w:t>WEEKLY DIGEST</w:t>
      </w:r>
    </w:p>
    <w:p w14:paraId="209875FF" w14:textId="6BEAFCDF" w:rsidR="00153318" w:rsidRDefault="00573083">
      <w:pPr>
        <w:pStyle w:val="Title"/>
        <w:spacing w:before="0" w:after="40"/>
      </w:pPr>
      <w:r>
        <w:t>Business English &amp; TEFL</w:t>
      </w:r>
      <w:r w:rsidR="00553079">
        <w:tab/>
      </w:r>
      <w:r w:rsidR="00553079">
        <w:tab/>
      </w:r>
      <w:r w:rsidR="00553079">
        <w:tab/>
      </w:r>
      <w:r w:rsidR="00553079">
        <w:tab/>
      </w:r>
      <w:r w:rsidR="00553079">
        <w:tab/>
      </w:r>
      <w:r w:rsidR="00553079">
        <w:rPr>
          <w:noProof/>
        </w:rPr>
        <w:drawing>
          <wp:inline distT="0" distB="0" distL="0" distR="0" wp14:anchorId="30F3EAED" wp14:editId="04CDBFEF">
            <wp:extent cx="694842" cy="694842"/>
            <wp:effectExtent l="0" t="0" r="0" b="0"/>
            <wp:docPr id="700064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064427" name="Picture 700064427"/>
                    <pic:cNvPicPr/>
                  </pic:nvPicPr>
                  <pic:blipFill>
                    <a:blip r:embed="rId8"/>
                    <a:stretch>
                      <a:fillRect/>
                    </a:stretch>
                  </pic:blipFill>
                  <pic:spPr>
                    <a:xfrm>
                      <a:off x="0" y="0"/>
                      <a:ext cx="709605" cy="709605"/>
                    </a:xfrm>
                    <a:prstGeom prst="rect">
                      <a:avLst/>
                    </a:prstGeom>
                  </pic:spPr>
                </pic:pic>
              </a:graphicData>
            </a:graphic>
          </wp:inline>
        </w:drawing>
      </w:r>
    </w:p>
    <w:p w14:paraId="13F37F92" w14:textId="77777777" w:rsidR="00153318" w:rsidRDefault="00573083">
      <w:pPr>
        <w:spacing w:after="240"/>
      </w:pPr>
      <w:r>
        <w:rPr>
          <w:i/>
          <w:color w:val="666666"/>
        </w:rPr>
        <w:t>Week ending 5 September 2026</w:t>
      </w:r>
    </w:p>
    <w:tbl>
      <w:tblPr>
        <w:tblW w:w="0" w:type="auto"/>
        <w:tblLayout w:type="fixed"/>
        <w:tblLook w:val="04A0" w:firstRow="1" w:lastRow="0" w:firstColumn="1" w:lastColumn="0" w:noHBand="0" w:noVBand="1"/>
      </w:tblPr>
      <w:tblGrid>
        <w:gridCol w:w="10080"/>
      </w:tblGrid>
      <w:tr w:rsidR="00153318" w14:paraId="0EE582AD" w14:textId="77777777">
        <w:tc>
          <w:tcPr>
            <w:tcW w:w="10080" w:type="dxa"/>
            <w:shd w:val="clear" w:color="auto" w:fill="F3EEE1"/>
            <w:tcMar>
              <w:top w:w="180" w:type="dxa"/>
              <w:left w:w="220" w:type="dxa"/>
              <w:bottom w:w="180" w:type="dxa"/>
              <w:right w:w="220" w:type="dxa"/>
            </w:tcMar>
          </w:tcPr>
          <w:p w14:paraId="7F71C5E6" w14:textId="77777777" w:rsidR="00153318" w:rsidRDefault="00573083">
            <w:r>
              <w:rPr>
                <w:b/>
              </w:rPr>
              <w:t>THIS WEEK'S VIEW</w:t>
            </w:r>
          </w:p>
          <w:p w14:paraId="4AC1FBCB" w14:textId="77777777" w:rsidR="00153318" w:rsidRDefault="00573083">
            <w:r>
              <w:t>A relatively quiet week for substantial Business English material, but one strong theme emerged: the difference between using AI to support learning and allowing it to replace meaningful human interaction.</w:t>
            </w:r>
          </w:p>
        </w:tc>
      </w:tr>
    </w:tbl>
    <w:p w14:paraId="15D2D7DB" w14:textId="77777777" w:rsidR="00153318" w:rsidRDefault="00153318"/>
    <w:p w14:paraId="54AF9817" w14:textId="77777777" w:rsidR="00153318" w:rsidRDefault="00573083">
      <w:pPr>
        <w:pStyle w:val="Heading1"/>
      </w:pPr>
      <w:r>
        <w:t>New and noteworthy</w:t>
      </w:r>
    </w:p>
    <w:p w14:paraId="6F6A98A6" w14:textId="77777777" w:rsidR="00153318" w:rsidRDefault="00573083">
      <w:pPr>
        <w:pStyle w:val="Heading2"/>
      </w:pPr>
      <w:r>
        <w:t>1. Students question AI-led university teaching</w:t>
      </w:r>
    </w:p>
    <w:p w14:paraId="676F0087" w14:textId="77777777" w:rsidR="00153318" w:rsidRDefault="00573083">
      <w:r>
        <w:rPr>
          <w:b/>
          <w:color w:val="666666"/>
          <w:sz w:val="18"/>
        </w:rPr>
        <w:t>2 September 2026 | The Guardian</w:t>
      </w:r>
    </w:p>
    <w:p w14:paraId="28742E5C" w14:textId="77777777" w:rsidR="00153318" w:rsidRDefault="00573083">
      <w:r>
        <w:t>Macquarie University has introduced an AI “Virtual Peer” into two mandatory psychology units. The system asks students questions and guides them through scenario-based exercises using material supplied and checked by academics. The university says this makes it more reliable and less prone to invention than a general-purpose chatbot.</w:t>
      </w:r>
    </w:p>
    <w:p w14:paraId="0C2347CE" w14:textId="77777777" w:rsidR="00153318" w:rsidRDefault="00573083">
      <w:r>
        <w:t>The controversy concerns the wider teaching model. The online versions previously offered weekly tutorials led by paid academics, whereas teaching is now delivered mainly through readings, videos and AI activities, with large optional feedback sessions still available. Some students feel that the loss of regular discussion has reduced the value of the course. The article therefore raises a broader question: whether an AI tool is genuinely supplementing teaching or gradually replacing the interaction through</w:t>
      </w:r>
      <w:r>
        <w:t xml:space="preserve"> which much learning occurs.</w:t>
      </w:r>
    </w:p>
    <w:p w14:paraId="40866F25" w14:textId="77777777" w:rsidR="00153318" w:rsidRDefault="00573083">
      <w:pPr>
        <w:spacing w:after="180"/>
      </w:pPr>
      <w:hyperlink r:id="rId9">
        <w:r>
          <w:rPr>
            <w:color w:val="C49A24"/>
            <w:u w:val="single"/>
          </w:rPr>
          <w:t>Read the Guardian article</w:t>
        </w:r>
      </w:hyperlink>
    </w:p>
    <w:p w14:paraId="0062B8F6" w14:textId="77777777" w:rsidR="00153318" w:rsidRDefault="00573083">
      <w:pPr>
        <w:pStyle w:val="Heading2"/>
      </w:pPr>
      <w:r>
        <w:t>2. AI should preserve “productive struggle”</w:t>
      </w:r>
    </w:p>
    <w:p w14:paraId="665E52AA" w14:textId="77777777" w:rsidR="00153318" w:rsidRDefault="00573083">
      <w:r>
        <w:rPr>
          <w:b/>
          <w:color w:val="666666"/>
          <w:sz w:val="18"/>
        </w:rPr>
        <w:t>4 September 2026 | Gates Notes</w:t>
      </w:r>
    </w:p>
    <w:p w14:paraId="4B961E6C" w14:textId="77777777" w:rsidR="00153318" w:rsidRDefault="00573083">
      <w:r>
        <w:t>Bill Gates considers both the opportunities and the disruption likely to accompany rapid AI adoption. In education, he argues that AI could widen access to individual support, help teachers identify where learners are struggling and free them to spend more time working directly with individuals and small groups.</w:t>
      </w:r>
    </w:p>
    <w:p w14:paraId="5919F537" w14:textId="77777777" w:rsidR="00153318" w:rsidRDefault="00573083">
      <w:r>
        <w:t>His most useful educational point is that an AI tutor should preserve “productive struggle”: the effort through which a learner develops understanding, rather than simply supplying an answer. Applied to language learning, this suggests that AI is most valuable when it prompts, challenges, explains and gives feedback. If it performs the whole communication task, the finished output may improve while the learner’s independent ability does not.</w:t>
      </w:r>
    </w:p>
    <w:p w14:paraId="53E132F8" w14:textId="77777777" w:rsidR="00153318" w:rsidRDefault="00573083">
      <w:pPr>
        <w:spacing w:after="180"/>
      </w:pPr>
      <w:hyperlink r:id="rId10">
        <w:r>
          <w:rPr>
            <w:color w:val="C49A24"/>
            <w:u w:val="single"/>
          </w:rPr>
          <w:t>Read the Gates Notes article</w:t>
        </w:r>
      </w:hyperlink>
    </w:p>
    <w:p w14:paraId="016D34D5" w14:textId="77777777" w:rsidR="00153318" w:rsidRDefault="00573083">
      <w:pPr>
        <w:pStyle w:val="Heading2"/>
      </w:pPr>
      <w:r>
        <w:t>3. What level of English should a TEFL teacher have?</w:t>
      </w:r>
    </w:p>
    <w:p w14:paraId="55906F99" w14:textId="77777777" w:rsidR="00153318" w:rsidRDefault="00573083">
      <w:r>
        <w:rPr>
          <w:b/>
          <w:color w:val="666666"/>
          <w:sz w:val="18"/>
        </w:rPr>
        <w:t>1 September 2026 | The TEFL Academy</w:t>
      </w:r>
    </w:p>
    <w:p w14:paraId="21161E78" w14:textId="77777777" w:rsidR="00153318" w:rsidRDefault="00573083">
      <w:r>
        <w:t>The TEFL Academy identifies C1 on the Common European Framework of Reference as the normal minimum level for undertaking professional TEFL training. It explains what C1 represents and gives approximate equivalencies for recognised examinations including IELTS, TOEFL, Cambridge English and Pearson PTE.</w:t>
      </w:r>
    </w:p>
    <w:p w14:paraId="689BB762" w14:textId="77777777" w:rsidR="00153318" w:rsidRDefault="00573083">
      <w:r>
        <w:t xml:space="preserve">The article is primarily guidance for prospective teachers, but it also illustrates the value and limitation of level labels. CEFR provides a consistent description of overall language ability; it does not, by itself, show how effectively </w:t>
      </w:r>
      <w:r>
        <w:lastRenderedPageBreak/>
        <w:t>someone will handle a presentation, chair a meeting, respond under pressure or adjust language for a particular professional audience.</w:t>
      </w:r>
    </w:p>
    <w:p w14:paraId="38D729FB" w14:textId="77777777" w:rsidR="00153318" w:rsidRDefault="00573083">
      <w:pPr>
        <w:spacing w:after="180"/>
      </w:pPr>
      <w:hyperlink r:id="rId11">
        <w:r>
          <w:rPr>
            <w:color w:val="C49A24"/>
            <w:u w:val="single"/>
          </w:rPr>
          <w:t>Read the TEFL Academy article</w:t>
        </w:r>
      </w:hyperlink>
    </w:p>
    <w:p w14:paraId="317253EE" w14:textId="77777777" w:rsidR="00153318" w:rsidRDefault="00573083">
      <w:pPr>
        <w:pStyle w:val="Heading1"/>
      </w:pPr>
      <w:r>
        <w:t>Useful background material</w:t>
      </w:r>
    </w:p>
    <w:p w14:paraId="0A0AB1D3" w14:textId="77777777" w:rsidR="00153318" w:rsidRDefault="00573083">
      <w:pPr>
        <w:pStyle w:val="Heading2"/>
      </w:pPr>
      <w:r>
        <w:t>4. TOEIC Global English Skills Report</w:t>
      </w:r>
    </w:p>
    <w:p w14:paraId="57548F64" w14:textId="77777777" w:rsidR="00153318" w:rsidRDefault="00573083">
      <w:r>
        <w:rPr>
          <w:b/>
          <w:color w:val="666666"/>
          <w:sz w:val="18"/>
        </w:rPr>
        <w:t>ETS</w:t>
      </w:r>
    </w:p>
    <w:p w14:paraId="620DE1D1" w14:textId="77777777" w:rsidR="00153318" w:rsidRDefault="00573083">
      <w:r>
        <w:t>ETS examines workplace English as an organisational capability rather than only an individual qualification. The report links proficiency with international collaboration, employee efficiency, business growth and employees’ ability to use AI tools effectively.</w:t>
      </w:r>
    </w:p>
    <w:p w14:paraId="499CFDBF" w14:textId="77777777" w:rsidR="00153318" w:rsidRDefault="00573083">
      <w:r>
        <w:t>It also considers the difference between standardised assessment and informal judgements of ability. The practical lesson for corporate training is that organisations need a reliable starting point, clear objectives and evidence of workplace improvement—not merely course completion or a general impression that a learner has become more confident.</w:t>
      </w:r>
    </w:p>
    <w:p w14:paraId="26BF54AA" w14:textId="77777777" w:rsidR="00153318" w:rsidRDefault="00573083">
      <w:pPr>
        <w:spacing w:after="180"/>
      </w:pPr>
      <w:hyperlink r:id="rId12">
        <w:r>
          <w:rPr>
            <w:color w:val="C49A24"/>
            <w:u w:val="single"/>
          </w:rPr>
          <w:t>View the TOEIC report</w:t>
        </w:r>
      </w:hyperlink>
    </w:p>
    <w:p w14:paraId="151FD427" w14:textId="77777777" w:rsidR="00153318" w:rsidRDefault="00573083">
      <w:pPr>
        <w:pStyle w:val="Heading2"/>
      </w:pPr>
      <w:r>
        <w:t>5. Comparing corporate language-training platforms</w:t>
      </w:r>
    </w:p>
    <w:p w14:paraId="011AA035" w14:textId="77777777" w:rsidR="00153318" w:rsidRDefault="00573083">
      <w:r>
        <w:rPr>
          <w:b/>
          <w:color w:val="666666"/>
          <w:sz w:val="18"/>
        </w:rPr>
        <w:t>24 March 2026 | Talaera</w:t>
      </w:r>
    </w:p>
    <w:p w14:paraId="7580C207" w14:textId="77777777" w:rsidR="00153318" w:rsidRDefault="00573083">
      <w:r>
        <w:t>Talaera compares ten corporate language-training providers against the needs of employers and L&amp;D teams. The criteria extend beyond course content to include live and self-directed learning, coaching, global delivery, learning-management-system integration, reporting, analytics and the ability to manage programmes across large organisations.</w:t>
      </w:r>
    </w:p>
    <w:p w14:paraId="67A09043" w14:textId="77777777" w:rsidR="00153318" w:rsidRDefault="00573083">
      <w:r>
        <w:t>The most valuable section concerns return on investment. Completion rates and learner satisfaction show participation, but they do not demonstrate business impact. Stronger evaluation combines proficiency gains with observable changes in workplace performance, such as clearer meetings, stronger presentations, fewer communication problems and greater confidence in international client work.</w:t>
      </w:r>
    </w:p>
    <w:p w14:paraId="15CB3A2D" w14:textId="77777777" w:rsidR="00153318" w:rsidRDefault="00573083">
      <w:pPr>
        <w:spacing w:after="180"/>
      </w:pPr>
      <w:hyperlink r:id="rId13">
        <w:r>
          <w:rPr>
            <w:color w:val="C49A24"/>
            <w:u w:val="single"/>
          </w:rPr>
          <w:t>Read the corporate training comparison</w:t>
        </w:r>
      </w:hyperlink>
    </w:p>
    <w:p w14:paraId="3083900A" w14:textId="77777777" w:rsidR="00153318" w:rsidRDefault="00573083">
      <w:pPr>
        <w:pStyle w:val="Heading1"/>
      </w:pPr>
      <w:r>
        <w:t>What this week’s material suggests</w:t>
      </w:r>
    </w:p>
    <w:p w14:paraId="4239923F" w14:textId="77777777" w:rsidR="00153318" w:rsidRDefault="00573083">
      <w:r>
        <w:t>Taken together, these items point towards a more useful model of Business English development. Technology can extend practice and feedback, while CEFR and standardised testing can establish a sound baseline. Neither replaces the need to observe what a learner can actually do in realistic professional situations. The strongest training therefore combines reliable assessment, purposeful use of AI and live practice linked to genuine workplace outcomes.</w:t>
      </w:r>
    </w:p>
    <w:sectPr w:rsidR="00153318" w:rsidSect="00034616">
      <w:headerReference w:type="default" r:id="rId14"/>
      <w:footerReference w:type="default" r:id="rId15"/>
      <w:pgSz w:w="12240" w:h="15840"/>
      <w:pgMar w:top="1181" w:right="1080" w:bottom="1181" w:left="1080"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F2004" w14:textId="77777777" w:rsidR="00573083" w:rsidRDefault="00573083">
      <w:pPr>
        <w:spacing w:after="0" w:line="240" w:lineRule="auto"/>
      </w:pPr>
      <w:r>
        <w:separator/>
      </w:r>
    </w:p>
  </w:endnote>
  <w:endnote w:type="continuationSeparator" w:id="0">
    <w:p w14:paraId="3770FA0F" w14:textId="77777777" w:rsidR="00573083" w:rsidRDefault="00573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EB085" w14:textId="77777777" w:rsidR="00153318" w:rsidRDefault="00573083">
    <w:pPr>
      <w:pStyle w:val="Footer"/>
      <w:jc w:val="center"/>
    </w:pPr>
    <w:proofErr w:type="gramStart"/>
    <w:r>
      <w:rPr>
        <w:color w:val="666666"/>
        <w:sz w:val="16"/>
      </w:rPr>
      <w:t>execbusinessenglish.com  |</w:t>
    </w:r>
    <w:proofErr w:type="gramEnd"/>
    <w:r>
      <w:rPr>
        <w:color w:val="666666"/>
        <w:sz w:val="16"/>
      </w:rPr>
      <w:t xml:space="preserve">  Clearer English. Stronger business communication.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D2F44" w14:textId="77777777" w:rsidR="00573083" w:rsidRDefault="00573083">
      <w:pPr>
        <w:spacing w:after="0" w:line="240" w:lineRule="auto"/>
      </w:pPr>
      <w:r>
        <w:separator/>
      </w:r>
    </w:p>
  </w:footnote>
  <w:footnote w:type="continuationSeparator" w:id="0">
    <w:p w14:paraId="2A11B3D3" w14:textId="77777777" w:rsidR="00573083" w:rsidRDefault="00573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E08F" w14:textId="77777777" w:rsidR="00153318" w:rsidRDefault="00573083">
    <w:pPr>
      <w:pStyle w:val="Header"/>
      <w:pBdr>
        <w:bottom w:val="single" w:sz="8" w:space="5" w:color="C49A24"/>
      </w:pBdr>
      <w:jc w:val="right"/>
    </w:pPr>
    <w:r>
      <w:rPr>
        <w:b/>
        <w:color w:val="C49A24"/>
        <w:sz w:val="16"/>
      </w:rPr>
      <w:t>EXEC BUSINESS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656024">
    <w:abstractNumId w:val="8"/>
  </w:num>
  <w:num w:numId="2" w16cid:durableId="1939212829">
    <w:abstractNumId w:val="6"/>
  </w:num>
  <w:num w:numId="3" w16cid:durableId="99641832">
    <w:abstractNumId w:val="5"/>
  </w:num>
  <w:num w:numId="4" w16cid:durableId="958880539">
    <w:abstractNumId w:val="4"/>
  </w:num>
  <w:num w:numId="5" w16cid:durableId="1771662474">
    <w:abstractNumId w:val="7"/>
  </w:num>
  <w:num w:numId="6" w16cid:durableId="1349138763">
    <w:abstractNumId w:val="3"/>
  </w:num>
  <w:num w:numId="7" w16cid:durableId="1030450373">
    <w:abstractNumId w:val="2"/>
  </w:num>
  <w:num w:numId="8" w16cid:durableId="512962480">
    <w:abstractNumId w:val="1"/>
  </w:num>
  <w:num w:numId="9" w16cid:durableId="508910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3318"/>
    <w:rsid w:val="0029639D"/>
    <w:rsid w:val="00326F90"/>
    <w:rsid w:val="00553079"/>
    <w:rsid w:val="00573083"/>
    <w:rsid w:val="00AA1D8D"/>
    <w:rsid w:val="00B47730"/>
    <w:rsid w:val="00CB0664"/>
    <w:rsid w:val="00D01D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58FC87"/>
  <w14:defaultImageDpi w14:val="300"/>
  <w15:docId w15:val="{159A2626-26FD-406A-B8FD-B504E2995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7" w:lineRule="auto"/>
    </w:pPr>
    <w:rPr>
      <w:rFonts w:ascii="Aptos" w:hAnsi="Aptos"/>
      <w:color w:val="171717"/>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C49A2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alaera.com/business-english-platforms/best-corporate-language-training-platfor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ts.org/toeic/resources/global-english-skills.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teflacademy.com/blog/what-level-should-my-english-be-for-a-tefl-cours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atesnotes.com/a-turbulent-ai-era-and-critical-choices-to-make" TargetMode="External"/><Relationship Id="rId4" Type="http://schemas.openxmlformats.org/officeDocument/2006/relationships/settings" Target="settings.xml"/><Relationship Id="rId9" Type="http://schemas.openxmlformats.org/officeDocument/2006/relationships/hyperlink" Target="https://www.theguardian.com/technology/2026/sep/02/macquarie-university-using-ai-chatbot-tutorial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Business English &amp; TEFL Digest - 5 September 2026</dc:title>
  <dc:subject>Exec Business English weekly digest</dc:subject>
  <dc:creator>Exec Business English</dc:creator>
  <cp:keywords/>
  <dc:description>generated by python-docx</dc:description>
  <cp:lastModifiedBy>Ian Steer</cp:lastModifiedBy>
  <cp:revision>2</cp:revision>
  <dcterms:created xsi:type="dcterms:W3CDTF">2026-09-05T07:35:00Z</dcterms:created>
  <dcterms:modified xsi:type="dcterms:W3CDTF">2026-09-05T07:35:00Z</dcterms:modified>
  <cp:category/>
</cp:coreProperties>
</file>