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D5134" w14:textId="77777777" w:rsidR="00E14577" w:rsidRDefault="00E14577">
      <w:r w:rsidRPr="00465AC6">
        <w:rPr>
          <w:noProof/>
        </w:rPr>
        <w:drawing>
          <wp:anchor distT="0" distB="0" distL="114300" distR="114300" simplePos="0" relativeHeight="251659264" behindDoc="1" locked="1" layoutInCell="1" allowOverlap="1" wp14:anchorId="6116B9BF" wp14:editId="28FBE351">
            <wp:simplePos x="0" y="0"/>
            <wp:positionH relativeFrom="column">
              <wp:posOffset>-733425</wp:posOffset>
            </wp:positionH>
            <wp:positionV relativeFrom="paragraph">
              <wp:posOffset>-2746375</wp:posOffset>
            </wp:positionV>
            <wp:extent cx="7772400" cy="10058400"/>
            <wp:effectExtent l="0" t="0" r="0" b="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AC6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2E4B81E9" wp14:editId="456AFAB7">
                <wp:simplePos x="0" y="0"/>
                <wp:positionH relativeFrom="column">
                  <wp:posOffset>-731520</wp:posOffset>
                </wp:positionH>
                <wp:positionV relativeFrom="paragraph">
                  <wp:posOffset>273050</wp:posOffset>
                </wp:positionV>
                <wp:extent cx="6702425" cy="4023360"/>
                <wp:effectExtent l="0" t="0" r="3175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4023360"/>
                        </a:xfrm>
                        <a:prstGeom prst="rect">
                          <a:avLst/>
                        </a:prstGeom>
                        <a:solidFill>
                          <a:srgbClr val="F7850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A4810" id="Rectangle 2" o:spid="_x0000_s1026" alt="&quot;&quot;" style="position:absolute;margin-left:-57.6pt;margin-top:21.5pt;width:527.75pt;height:316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" fillcolor="#f78507" stroked="f" strokeweight="1pt">
                <w10:anchorlock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5"/>
      </w:tblGrid>
      <w:tr w:rsidR="00A73656" w14:paraId="6AC52662" w14:textId="77777777" w:rsidTr="004148F5">
        <w:trPr>
          <w:trHeight w:val="2214"/>
        </w:trPr>
        <w:tc>
          <w:tcPr>
            <w:tcW w:w="6011" w:type="dxa"/>
            <w:gridSpan w:val="2"/>
            <w:tcMar>
              <w:top w:w="576" w:type="dxa"/>
              <w:left w:w="115" w:type="dxa"/>
              <w:right w:w="115" w:type="dxa"/>
            </w:tcMar>
          </w:tcPr>
          <w:p w14:paraId="1E611807" w14:textId="3BD305A3" w:rsidR="00A73656" w:rsidRDefault="00A73656" w:rsidP="00174C85">
            <w:pPr>
              <w:pStyle w:val="Title"/>
            </w:pPr>
            <w:r>
              <w:t>Annual report</w:t>
            </w:r>
          </w:p>
        </w:tc>
        <w:tc>
          <w:tcPr>
            <w:tcW w:w="3005" w:type="dxa"/>
            <w:tcMar>
              <w:top w:w="576" w:type="dxa"/>
            </w:tcMar>
          </w:tcPr>
          <w:p w14:paraId="0DE379D2" w14:textId="77777777" w:rsidR="00A73656" w:rsidRDefault="00A73656" w:rsidP="00174C85">
            <w:pPr>
              <w:spacing w:after="200"/>
            </w:pPr>
          </w:p>
        </w:tc>
      </w:tr>
      <w:tr w:rsidR="00A73656" w14:paraId="55586D47" w14:textId="77777777" w:rsidTr="00174C85">
        <w:trPr>
          <w:trHeight w:val="891"/>
        </w:trPr>
        <w:tc>
          <w:tcPr>
            <w:tcW w:w="6011" w:type="dxa"/>
            <w:gridSpan w:val="2"/>
            <w:tcMar>
              <w:top w:w="1080" w:type="dxa"/>
              <w:left w:w="115" w:type="dxa"/>
              <w:right w:w="115" w:type="dxa"/>
            </w:tcMar>
          </w:tcPr>
          <w:p w14:paraId="48A900A4" w14:textId="09606766" w:rsidR="00A73656" w:rsidRDefault="00174C85" w:rsidP="00174C85">
            <w:pPr>
              <w:pStyle w:val="Bold"/>
            </w:pPr>
            <w:r>
              <w:t>IXULR Pty Ltd.</w:t>
            </w:r>
          </w:p>
        </w:tc>
        <w:tc>
          <w:tcPr>
            <w:tcW w:w="3005" w:type="dxa"/>
            <w:tcMar>
              <w:top w:w="1080" w:type="dxa"/>
              <w:left w:w="115" w:type="dxa"/>
              <w:right w:w="115" w:type="dxa"/>
            </w:tcMar>
          </w:tcPr>
          <w:p w14:paraId="168A5E82" w14:textId="77777777" w:rsidR="00A73656" w:rsidRDefault="00A73656" w:rsidP="00174C85">
            <w:pPr>
              <w:spacing w:after="200"/>
            </w:pPr>
          </w:p>
        </w:tc>
      </w:tr>
      <w:tr w:rsidR="00A73656" w:rsidRPr="00C96056" w14:paraId="725C1D95" w14:textId="77777777" w:rsidTr="00174C85">
        <w:trPr>
          <w:trHeight w:val="2207"/>
        </w:trPr>
        <w:tc>
          <w:tcPr>
            <w:tcW w:w="3005" w:type="dxa"/>
          </w:tcPr>
          <w:p w14:paraId="4E1697CD" w14:textId="77777777" w:rsidR="00F24925" w:rsidRDefault="00F24925" w:rsidP="00F24925">
            <w:pPr>
              <w:pStyle w:val="NormalWeb"/>
            </w:pPr>
          </w:p>
          <w:p w14:paraId="6A62A05B" w14:textId="4178B077" w:rsidR="00DB7B3F" w:rsidRPr="00F24925" w:rsidRDefault="00F24925" w:rsidP="00F2492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F1A600B" wp14:editId="2458BFF5">
                  <wp:extent cx="1302575" cy="247650"/>
                  <wp:effectExtent l="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81" cy="24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8C79C9D" w14:textId="77777777" w:rsidR="00F24925" w:rsidRDefault="00F24925" w:rsidP="004148F5">
            <w:pPr>
              <w:pStyle w:val="Info"/>
              <w:framePr w:hSpace="0" w:wrap="auto" w:vAnchor="margin" w:hAnchor="text" w:yAlign="inline"/>
              <w:rPr>
                <w:sz w:val="24"/>
              </w:rPr>
            </w:pPr>
          </w:p>
          <w:p w14:paraId="2935EFF6" w14:textId="53CA73C1" w:rsidR="004148F5" w:rsidRPr="007B7736" w:rsidRDefault="004148F5" w:rsidP="004148F5">
            <w:pPr>
              <w:pStyle w:val="Info"/>
              <w:framePr w:hSpace="0" w:wrap="auto" w:vAnchor="margin" w:hAnchor="text" w:yAlign="inline"/>
              <w:rPr>
                <w:sz w:val="24"/>
              </w:rPr>
            </w:pPr>
            <w:r>
              <w:rPr>
                <w:sz w:val="24"/>
              </w:rPr>
              <w:t>Chief Executive</w:t>
            </w:r>
          </w:p>
          <w:p w14:paraId="1AF6A785" w14:textId="5ED02CDE" w:rsidR="00A73656" w:rsidRPr="007B7736" w:rsidRDefault="004148F5" w:rsidP="004148F5">
            <w:pPr>
              <w:pStyle w:val="Info"/>
              <w:framePr w:hSpace="0" w:wrap="auto" w:vAnchor="margin" w:hAnchor="text" w:yAlign="inline"/>
              <w:rPr>
                <w:sz w:val="24"/>
              </w:rPr>
            </w:pPr>
            <w:r>
              <w:rPr>
                <w:sz w:val="24"/>
              </w:rPr>
              <w:t>Martin Velazquez</w:t>
            </w:r>
          </w:p>
        </w:tc>
        <w:tc>
          <w:tcPr>
            <w:tcW w:w="3005" w:type="dxa"/>
          </w:tcPr>
          <w:p w14:paraId="131ACF9B" w14:textId="77777777" w:rsidR="00F24925" w:rsidRDefault="00F24925" w:rsidP="00174C85">
            <w:pPr>
              <w:pStyle w:val="Info"/>
              <w:framePr w:hSpace="0" w:wrap="auto" w:vAnchor="margin" w:hAnchor="text" w:yAlign="inline"/>
              <w:rPr>
                <w:sz w:val="24"/>
              </w:rPr>
            </w:pPr>
          </w:p>
          <w:p w14:paraId="038563E0" w14:textId="3CD00349" w:rsidR="00A73656" w:rsidRPr="007B7736" w:rsidRDefault="00174C85" w:rsidP="00174C85">
            <w:pPr>
              <w:pStyle w:val="Info"/>
              <w:framePr w:hSpace="0" w:wrap="auto" w:vAnchor="margin" w:hAnchor="text" w:yAlign="inline"/>
              <w:rPr>
                <w:sz w:val="24"/>
              </w:rPr>
            </w:pPr>
            <w:r>
              <w:rPr>
                <w:sz w:val="24"/>
              </w:rPr>
              <w:t>309</w:t>
            </w:r>
            <w:r w:rsidR="00A73656" w:rsidRPr="007B7736">
              <w:rPr>
                <w:sz w:val="24"/>
              </w:rPr>
              <w:t>-</w:t>
            </w:r>
            <w:r>
              <w:rPr>
                <w:sz w:val="24"/>
              </w:rPr>
              <w:t>443</w:t>
            </w:r>
            <w:r w:rsidR="00A73656" w:rsidRPr="007B7736">
              <w:rPr>
                <w:sz w:val="24"/>
              </w:rPr>
              <w:t>-</w:t>
            </w:r>
            <w:r>
              <w:rPr>
                <w:sz w:val="24"/>
              </w:rPr>
              <w:t>2167</w:t>
            </w:r>
          </w:p>
          <w:p w14:paraId="2F553196" w14:textId="3E15E18D" w:rsidR="00A73656" w:rsidRPr="007B7736" w:rsidRDefault="00A73656" w:rsidP="00174C85">
            <w:pPr>
              <w:pStyle w:val="Info"/>
              <w:framePr w:hSpace="0" w:wrap="auto" w:vAnchor="margin" w:hAnchor="text" w:yAlign="inline"/>
              <w:rPr>
                <w:sz w:val="24"/>
              </w:rPr>
            </w:pPr>
            <w:r w:rsidRPr="007B7736">
              <w:rPr>
                <w:sz w:val="24"/>
              </w:rPr>
              <w:t>www.</w:t>
            </w:r>
            <w:r w:rsidR="00465A78">
              <w:rPr>
                <w:sz w:val="24"/>
              </w:rPr>
              <w:t>ixulr</w:t>
            </w:r>
            <w:r w:rsidRPr="007B7736">
              <w:rPr>
                <w:sz w:val="24"/>
              </w:rPr>
              <w:t>.com</w:t>
            </w:r>
          </w:p>
        </w:tc>
      </w:tr>
      <w:tr w:rsidR="00A73656" w:rsidRPr="00C96056" w14:paraId="2270CB15" w14:textId="77777777" w:rsidTr="00174C85">
        <w:trPr>
          <w:trHeight w:val="1607"/>
        </w:trPr>
        <w:tc>
          <w:tcPr>
            <w:tcW w:w="9016" w:type="dxa"/>
            <w:gridSpan w:val="3"/>
          </w:tcPr>
          <w:p w14:paraId="52E7D204" w14:textId="09BE32BA" w:rsidR="00A73656" w:rsidRPr="00C96056" w:rsidRDefault="00174C85" w:rsidP="00174C85">
            <w:pPr>
              <w:pStyle w:val="Heading1"/>
              <w:framePr w:hSpace="0" w:wrap="auto" w:vAnchor="margin" w:hAnchor="text" w:yAlign="inline"/>
            </w:pPr>
            <w:r>
              <w:t>2024</w:t>
            </w:r>
          </w:p>
        </w:tc>
      </w:tr>
    </w:tbl>
    <w:p w14:paraId="5C2BA01F" w14:textId="04BEFE99" w:rsidR="00E14577" w:rsidRDefault="00174C85">
      <w:pPr>
        <w:spacing w:before="0" w:after="160" w:line="278" w:lineRule="auto"/>
      </w:pPr>
      <w:r>
        <w:br w:type="textWrapping" w:clear="all"/>
      </w:r>
    </w:p>
    <w:p w14:paraId="10AAA7A5" w14:textId="77777777" w:rsidR="00A73656" w:rsidRDefault="00A73656" w:rsidP="00D41196">
      <w:pPr>
        <w:pStyle w:val="Heading2"/>
        <w:sectPr w:rsidR="00A73656" w:rsidSect="00A73656">
          <w:headerReference w:type="even" r:id="rId12"/>
          <w:headerReference w:type="default" r:id="rId13"/>
          <w:footerReference w:type="default" r:id="rId14"/>
          <w:pgSz w:w="12240" w:h="15840" w:code="1"/>
          <w:pgMar w:top="4320" w:right="1152" w:bottom="720" w:left="1152" w:header="432" w:footer="144" w:gutter="0"/>
          <w:cols w:space="720"/>
          <w:docGrid w:linePitch="360"/>
        </w:sectPr>
      </w:pPr>
    </w:p>
    <w:p w14:paraId="7DEE2B5F" w14:textId="72A13ECC" w:rsidR="00E14577" w:rsidRPr="00704665" w:rsidRDefault="00465A78" w:rsidP="00D41196">
      <w:pPr>
        <w:pStyle w:val="Heading2"/>
      </w:pPr>
      <w:r>
        <w:lastRenderedPageBreak/>
        <w:t>Letter from the Chairman &amp; CEO – Martin Velazquez</w:t>
      </w:r>
    </w:p>
    <w:p w14:paraId="6A0B09F5" w14:textId="36A5BDAC" w:rsidR="000B7D7E" w:rsidRPr="000B7D7E" w:rsidRDefault="00E14577" w:rsidP="000B7D7E">
      <w:r w:rsidRPr="00704665">
        <w:t xml:space="preserve">The past year has been transformative for </w:t>
      </w:r>
      <w:r w:rsidR="000B7D7E">
        <w:t>IXULR Pty Ltd</w:t>
      </w:r>
      <w:r w:rsidRPr="00704665">
        <w:t xml:space="preserve">. </w:t>
      </w:r>
      <w:r w:rsidR="000B7D7E">
        <w:t xml:space="preserve">In a transforming global energy </w:t>
      </w:r>
      <w:r w:rsidR="00192AC7">
        <w:t>industry</w:t>
      </w:r>
      <w:r w:rsidR="000B7D7E">
        <w:t>, IXULR has</w:t>
      </w:r>
      <w:r w:rsidRPr="00704665">
        <w:t xml:space="preserve"> successfully navigated through various challenges and achieved significant milestones.</w:t>
      </w:r>
      <w:r w:rsidR="000B7D7E">
        <w:t xml:space="preserve"> We have delivered resilient financial performance by advancing our low-carbon strategy and investing in technologies that will shape our future</w:t>
      </w:r>
      <w:r w:rsidRPr="00704665">
        <w:t xml:space="preserve">. </w:t>
      </w:r>
      <w:r w:rsidR="000B7D7E">
        <w:t>O</w:t>
      </w:r>
      <w:r w:rsidR="000B7D7E" w:rsidRPr="000B7D7E">
        <w:t xml:space="preserve">ur mission is to provide innovative solutions in the oil and gas industry. We </w:t>
      </w:r>
      <w:r w:rsidR="000B7D7E">
        <w:t>remain</w:t>
      </w:r>
      <w:r w:rsidR="000B7D7E" w:rsidRPr="000B7D7E">
        <w:t xml:space="preserve"> committed to sustainability and efficiency in every project we undertake.</w:t>
      </w:r>
    </w:p>
    <w:p w14:paraId="48385E4C" w14:textId="4489F610" w:rsidR="003C44A7" w:rsidRPr="00704665" w:rsidRDefault="003C44A7" w:rsidP="003C44A7"/>
    <w:p w14:paraId="358670DD" w14:textId="104A5425" w:rsidR="00E14577" w:rsidRPr="00704665" w:rsidRDefault="00465A78" w:rsidP="00D41196">
      <w:pPr>
        <w:pStyle w:val="Heading2"/>
      </w:pPr>
      <w:r>
        <w:t>2024 Industry Averages</w:t>
      </w:r>
    </w:p>
    <w:p w14:paraId="01A48D4E" w14:textId="6F067518" w:rsidR="00E14577" w:rsidRPr="00704665" w:rsidRDefault="000B7D7E" w:rsidP="00D41196">
      <w:pPr>
        <w:pStyle w:val="ListBullet"/>
      </w:pPr>
      <w:r>
        <w:rPr>
          <w:rStyle w:val="Emphasis"/>
        </w:rPr>
        <w:t>Average Annual Revenue</w:t>
      </w:r>
      <w:r w:rsidR="00E14577" w:rsidRPr="00704665">
        <w:t xml:space="preserve">: </w:t>
      </w:r>
      <w:r w:rsidR="008B40B1">
        <w:t>$246.3 billion</w:t>
      </w:r>
    </w:p>
    <w:p w14:paraId="20CD9399" w14:textId="36262CB7" w:rsidR="00E14577" w:rsidRPr="00704665" w:rsidRDefault="000B7D7E" w:rsidP="00D41196">
      <w:pPr>
        <w:pStyle w:val="ListBullet"/>
      </w:pPr>
      <w:r>
        <w:rPr>
          <w:rStyle w:val="Emphasis"/>
        </w:rPr>
        <w:t>Average Net Income</w:t>
      </w:r>
      <w:r w:rsidR="00E14577" w:rsidRPr="00704665">
        <w:t xml:space="preserve">: </w:t>
      </w:r>
      <w:r w:rsidR="008B40B1">
        <w:t>$16.7 billion</w:t>
      </w:r>
    </w:p>
    <w:p w14:paraId="09A41925" w14:textId="7BA63F97" w:rsidR="003C44A7" w:rsidRDefault="000B7D7E" w:rsidP="00D41196">
      <w:pPr>
        <w:pStyle w:val="ListBullet"/>
      </w:pPr>
      <w:r>
        <w:rPr>
          <w:rStyle w:val="Emphasis"/>
        </w:rPr>
        <w:t>Average Production</w:t>
      </w:r>
      <w:r w:rsidR="00E14577" w:rsidRPr="00704665">
        <w:t xml:space="preserve">: </w:t>
      </w:r>
      <w:r w:rsidR="008B40B1">
        <w:t>$18.6 billion</w:t>
      </w:r>
    </w:p>
    <w:p w14:paraId="3F682037" w14:textId="3DF2E67C" w:rsidR="000B7D7E" w:rsidRDefault="000B7D7E" w:rsidP="00D41196">
      <w:pPr>
        <w:pStyle w:val="ListBullet"/>
      </w:pPr>
      <w:r>
        <w:rPr>
          <w:rStyle w:val="Emphasis"/>
        </w:rPr>
        <w:t>Average Annual Capital Expenditure</w:t>
      </w:r>
      <w:r w:rsidRPr="00704665">
        <w:t xml:space="preserve">: </w:t>
      </w:r>
      <w:r w:rsidR="00E16F84">
        <w:t>approx. $1.9 billion</w:t>
      </w:r>
    </w:p>
    <w:p w14:paraId="0A4EB2DF" w14:textId="48F28229" w:rsidR="000B7D7E" w:rsidRPr="00704665" w:rsidRDefault="000B7D7E" w:rsidP="00D41196">
      <w:pPr>
        <w:pStyle w:val="ListBullet"/>
      </w:pPr>
      <w:r>
        <w:rPr>
          <w:rStyle w:val="Emphasis"/>
        </w:rPr>
        <w:t>Approximate Low Carbon Investment</w:t>
      </w:r>
      <w:r w:rsidRPr="000B7D7E">
        <w:t xml:space="preserve">: </w:t>
      </w:r>
      <w:r w:rsidR="00E16F84">
        <w:t>3.04 million</w:t>
      </w:r>
      <w:r w:rsidR="00D932F8">
        <w:t xml:space="preserve"> </w:t>
      </w:r>
      <w:proofErr w:type="spellStart"/>
      <w:r w:rsidR="00F33867">
        <w:t>boe</w:t>
      </w:r>
      <w:proofErr w:type="spellEnd"/>
      <w:r w:rsidR="00F33867">
        <w:t xml:space="preserve"> </w:t>
      </w:r>
      <w:r w:rsidR="00D932F8">
        <w:t>per day</w:t>
      </w:r>
    </w:p>
    <w:p w14:paraId="77656722" w14:textId="77777777" w:rsidR="003C44A7" w:rsidRDefault="003C44A7" w:rsidP="003C44A7">
      <w:pPr>
        <w:pStyle w:val="Bold"/>
      </w:pPr>
    </w:p>
    <w:p w14:paraId="08327EE0" w14:textId="23CD2ECA" w:rsidR="00E14577" w:rsidRPr="00704665" w:rsidRDefault="000B7D7E" w:rsidP="00D41196">
      <w:pPr>
        <w:pStyle w:val="Heading2"/>
      </w:pPr>
      <w:r>
        <w:t>Performance Snapshot</w:t>
      </w:r>
    </w:p>
    <w:p w14:paraId="143A0875" w14:textId="537EFE6F" w:rsidR="003C44A7" w:rsidRDefault="00502C00" w:rsidP="003C44A7">
      <w:r>
        <w:t xml:space="preserve">IXULR </w:t>
      </w:r>
      <w:r w:rsidR="0042337F">
        <w:t>reports the following pro forma metrics for 2024: strong operational performance, diversified energy portfolio growth</w:t>
      </w:r>
      <w:r w:rsidR="00EB0185">
        <w:t>, and targeted low-carbon investments to support our energy transition.</w:t>
      </w:r>
    </w:p>
    <w:p w14:paraId="1B6D1F22" w14:textId="77777777" w:rsidR="00A26D0E" w:rsidRDefault="00A26D0E" w:rsidP="00A26D0E">
      <w:pPr>
        <w:rPr>
          <w:b/>
          <w:bCs/>
        </w:rPr>
      </w:pPr>
    </w:p>
    <w:p w14:paraId="3062969C" w14:textId="77777777" w:rsidR="00EA1E83" w:rsidRPr="003C44A7" w:rsidRDefault="00EA1E83" w:rsidP="00EA1E83">
      <w:pPr>
        <w:pStyle w:val="Heading2"/>
      </w:pPr>
      <w:bookmarkStart w:id="0" w:name="_Hlk212122593"/>
      <w:r>
        <w:t>Sustainability &amp; Transition</w:t>
      </w:r>
    </w:p>
    <w:p w14:paraId="5138AAA6" w14:textId="77777777" w:rsidR="00EA1E83" w:rsidRPr="003C44A7" w:rsidRDefault="00EA1E83" w:rsidP="00EA1E83">
      <w:r>
        <w:t>IXULR is committed to measurable emissions reductions and to increasing investment in low-carbon technologies</w:t>
      </w:r>
      <w:bookmarkEnd w:id="0"/>
      <w:r>
        <w:t xml:space="preserve">. Based on current industry trends, IXULR targets a 40% reduction in GHG intensity by 2023 and net-zero operational emissions by 2050. The company plans to scale investments in hydrogen, biofuels, and carbon capture to meet these goals. </w:t>
      </w:r>
      <w:r w:rsidRPr="00DA457B">
        <w:t xml:space="preserve">Looking ahead, we are committed to further enhancing our </w:t>
      </w:r>
      <w:r>
        <w:t>sustainability efforts and</w:t>
      </w:r>
      <w:r w:rsidRPr="00DA457B">
        <w:t xml:space="preserve"> </w:t>
      </w:r>
      <w:r>
        <w:t>creating a detailed transition plan for our future</w:t>
      </w:r>
      <w:r w:rsidRPr="00DA457B">
        <w:t xml:space="preserve">. </w:t>
      </w:r>
    </w:p>
    <w:p w14:paraId="46B53297" w14:textId="77777777" w:rsidR="00EA1E83" w:rsidRDefault="00EA1E83" w:rsidP="00A26D0E">
      <w:pPr>
        <w:rPr>
          <w:b/>
          <w:bCs/>
        </w:rPr>
      </w:pPr>
    </w:p>
    <w:p w14:paraId="03709CF6" w14:textId="77777777" w:rsidR="00EA1E83" w:rsidRDefault="00EA1E83" w:rsidP="00A26D0E">
      <w:pPr>
        <w:rPr>
          <w:b/>
          <w:bCs/>
        </w:rPr>
      </w:pPr>
    </w:p>
    <w:p w14:paraId="11840363" w14:textId="77777777" w:rsidR="00EA1E83" w:rsidRDefault="00EA1E83" w:rsidP="00A26D0E">
      <w:pPr>
        <w:rPr>
          <w:b/>
          <w:bCs/>
        </w:rPr>
      </w:pPr>
    </w:p>
    <w:p w14:paraId="7E57A076" w14:textId="77777777" w:rsidR="00EA1E83" w:rsidRDefault="00EA1E83" w:rsidP="00A26D0E">
      <w:pPr>
        <w:rPr>
          <w:b/>
          <w:bCs/>
        </w:rPr>
      </w:pPr>
    </w:p>
    <w:p w14:paraId="45CE464A" w14:textId="77777777" w:rsidR="00EA1E83" w:rsidRDefault="00EA1E83" w:rsidP="00A26D0E">
      <w:pPr>
        <w:rPr>
          <w:b/>
          <w:bCs/>
        </w:rPr>
      </w:pPr>
    </w:p>
    <w:p w14:paraId="264DC158" w14:textId="2D463FC2" w:rsidR="00CB07C1" w:rsidRDefault="00EA1E83" w:rsidP="00EA1E83">
      <w:pPr>
        <w:pStyle w:val="Heading2"/>
      </w:pPr>
      <w:r>
        <w:t>2024 Industry Highlights</w:t>
      </w:r>
    </w:p>
    <w:p w14:paraId="482DD60F" w14:textId="77777777" w:rsidR="004617AE" w:rsidRDefault="00B1628C" w:rsidP="00CB07C1">
      <w:pPr>
        <w:pStyle w:val="ListBullet"/>
        <w:numPr>
          <w:ilvl w:val="0"/>
          <w:numId w:val="0"/>
        </w:numPr>
        <w:tabs>
          <w:tab w:val="num" w:pos="720"/>
        </w:tabs>
        <w:ind w:left="360" w:hanging="360"/>
      </w:pPr>
      <w:r>
        <w:rPr>
          <w:rStyle w:val="Emphasis"/>
        </w:rPr>
        <w:t>Operational Performance</w:t>
      </w:r>
    </w:p>
    <w:p w14:paraId="007D7B24" w14:textId="3AA43263" w:rsidR="004617AE" w:rsidRDefault="004617AE" w:rsidP="00EA1E83">
      <w:pPr>
        <w:pStyle w:val="ListBullet"/>
      </w:pPr>
      <w:r>
        <w:t xml:space="preserve">Achieved a record </w:t>
      </w:r>
      <w:r>
        <w:rPr>
          <w:rStyle w:val="Strong"/>
        </w:rPr>
        <w:t>2.4 million barrels of oil equivalent per day</w:t>
      </w:r>
      <w:r>
        <w:t xml:space="preserve"> in total production.</w:t>
      </w:r>
    </w:p>
    <w:p w14:paraId="4872079B" w14:textId="77777777" w:rsidR="00EA1E83" w:rsidRDefault="004617AE" w:rsidP="00EA1E83">
      <w:pPr>
        <w:pStyle w:val="ListBullet"/>
        <w:tabs>
          <w:tab w:val="clear" w:pos="360"/>
          <w:tab w:val="num" w:pos="1897"/>
        </w:tabs>
      </w:pPr>
      <w:r>
        <w:t xml:space="preserve">Increased operational efficiency by </w:t>
      </w:r>
      <w:r>
        <w:rPr>
          <w:rStyle w:val="Strong"/>
        </w:rPr>
        <w:t>7%</w:t>
      </w:r>
      <w:r>
        <w:t xml:space="preserve"> through advanced digital integration and predictive analytics.</w:t>
      </w:r>
    </w:p>
    <w:p w14:paraId="5BF7B4AD" w14:textId="478EB2E6" w:rsidR="004617AE" w:rsidRPr="00704665" w:rsidRDefault="004617AE" w:rsidP="00EA1E83">
      <w:pPr>
        <w:pStyle w:val="ListBullet"/>
        <w:tabs>
          <w:tab w:val="clear" w:pos="360"/>
          <w:tab w:val="num" w:pos="1897"/>
        </w:tabs>
      </w:pPr>
      <w:r>
        <w:t xml:space="preserve">Expanded renewable generation capacity by </w:t>
      </w:r>
      <w:r>
        <w:rPr>
          <w:rStyle w:val="Strong"/>
        </w:rPr>
        <w:t>38%</w:t>
      </w:r>
      <w:r>
        <w:t>, marking our largest annual growth in low-carbon energy to date.</w:t>
      </w:r>
    </w:p>
    <w:p w14:paraId="239E904E" w14:textId="77777777" w:rsidR="00500C4B" w:rsidRPr="00500C4B" w:rsidRDefault="00500C4B" w:rsidP="00500C4B">
      <w:pPr>
        <w:rPr>
          <w:b/>
          <w:bCs/>
        </w:rPr>
      </w:pPr>
      <w:r w:rsidRPr="00500C4B">
        <w:rPr>
          <w:b/>
          <w:bCs/>
        </w:rPr>
        <w:t>Financial Strength</w:t>
      </w:r>
    </w:p>
    <w:p w14:paraId="1512C4D3" w14:textId="77777777" w:rsidR="00500C4B" w:rsidRPr="00500C4B" w:rsidRDefault="00500C4B" w:rsidP="00500C4B">
      <w:pPr>
        <w:pStyle w:val="ListBullet"/>
      </w:pPr>
      <w:r w:rsidRPr="00500C4B">
        <w:t>$198 billion in total revenue, reflecting resilience amid market volatility.</w:t>
      </w:r>
    </w:p>
    <w:p w14:paraId="0C1586E2" w14:textId="77777777" w:rsidR="00500C4B" w:rsidRPr="00500C4B" w:rsidRDefault="00500C4B" w:rsidP="00500C4B">
      <w:pPr>
        <w:pStyle w:val="ListBullet"/>
      </w:pPr>
      <w:r w:rsidRPr="00500C4B">
        <w:t>$22.5 billion in net income, supported by cost optimization and strong portfolio management.</w:t>
      </w:r>
    </w:p>
    <w:p w14:paraId="6634ADA5" w14:textId="4EDD0FF2" w:rsidR="00CA5C08" w:rsidRDefault="00500C4B" w:rsidP="003C44A7">
      <w:pPr>
        <w:pStyle w:val="ListBullet"/>
      </w:pPr>
      <w:r w:rsidRPr="00500C4B">
        <w:t>Returned $9.3 billion to shareholders through dividends and strategic share repurchases.</w:t>
      </w:r>
    </w:p>
    <w:p w14:paraId="71BC4959" w14:textId="77777777" w:rsidR="008926FB" w:rsidRPr="008926FB" w:rsidRDefault="008926FB" w:rsidP="008926FB">
      <w:pPr>
        <w:rPr>
          <w:b/>
          <w:bCs/>
        </w:rPr>
      </w:pPr>
      <w:r w:rsidRPr="008926FB">
        <w:rPr>
          <w:b/>
          <w:bCs/>
        </w:rPr>
        <w:t>Sustainability Progress</w:t>
      </w:r>
    </w:p>
    <w:p w14:paraId="5F56DAEF" w14:textId="77777777" w:rsidR="008926FB" w:rsidRPr="008926FB" w:rsidRDefault="008926FB" w:rsidP="008926FB">
      <w:pPr>
        <w:pStyle w:val="ListBullet"/>
      </w:pPr>
      <w:r w:rsidRPr="008926FB">
        <w:t>Reduced Scope 1 and 2 emissions intensity by 12% year-over-year.</w:t>
      </w:r>
    </w:p>
    <w:p w14:paraId="2219E98E" w14:textId="77777777" w:rsidR="008926FB" w:rsidRPr="008926FB" w:rsidRDefault="008926FB" w:rsidP="008926FB">
      <w:pPr>
        <w:pStyle w:val="ListBullet"/>
      </w:pPr>
      <w:proofErr w:type="gramStart"/>
      <w:r w:rsidRPr="008926FB">
        <w:t>Invested</w:t>
      </w:r>
      <w:proofErr w:type="gramEnd"/>
      <w:r w:rsidRPr="008926FB">
        <w:t xml:space="preserve"> $4.8 billion in low-carbon and renewable energy projects.</w:t>
      </w:r>
    </w:p>
    <w:p w14:paraId="0353103B" w14:textId="7E455FD0" w:rsidR="00CA5C08" w:rsidRDefault="008926FB" w:rsidP="003C44A7">
      <w:pPr>
        <w:pStyle w:val="ListBullet"/>
      </w:pPr>
      <w:proofErr w:type="gramStart"/>
      <w:r w:rsidRPr="008926FB">
        <w:t>Launched IXULR Carbon Solutions</w:t>
      </w:r>
      <w:proofErr w:type="gramEnd"/>
      <w:r w:rsidRPr="008926FB">
        <w:t>, a new business segment focused on hydrogen, bioenergy, and carbon capture technologies.</w:t>
      </w:r>
    </w:p>
    <w:p w14:paraId="022D7DD8" w14:textId="77777777" w:rsidR="00CA5C08" w:rsidRDefault="00CA5C08" w:rsidP="003C44A7">
      <w:pPr>
        <w:pStyle w:val="Bold"/>
      </w:pPr>
    </w:p>
    <w:p w14:paraId="3253FB7E" w14:textId="77777777" w:rsidR="00CA5C08" w:rsidRDefault="00715DD8" w:rsidP="00CA5C08">
      <w:pPr>
        <w:pStyle w:val="Heading2"/>
      </w:pPr>
      <w:r>
        <w:t>Strategy for 2025</w:t>
      </w:r>
    </w:p>
    <w:p w14:paraId="2C371FE5" w14:textId="77777777" w:rsidR="00CA5C08" w:rsidRPr="00CA5C08" w:rsidRDefault="00CA5C08" w:rsidP="00CA5C08">
      <w:pPr>
        <w:pStyle w:val="ListParagraph"/>
        <w:numPr>
          <w:ilvl w:val="0"/>
          <w:numId w:val="4"/>
        </w:numPr>
        <w:rPr>
          <w:rFonts w:asciiTheme="majorHAnsi" w:hAnsiTheme="majorHAnsi"/>
          <w:b/>
          <w:bCs/>
          <w:noProof/>
          <w:szCs w:val="40"/>
        </w:rPr>
      </w:pPr>
      <w:r w:rsidRPr="00CA5C08">
        <w:t xml:space="preserve">Accelerate renewable and low-carbon project development. </w:t>
      </w:r>
    </w:p>
    <w:p w14:paraId="19BFF0F8" w14:textId="77777777" w:rsidR="00CA5C08" w:rsidRPr="00CA5C08" w:rsidRDefault="00CA5C08" w:rsidP="00CA5C08">
      <w:pPr>
        <w:pStyle w:val="ListParagraph"/>
        <w:numPr>
          <w:ilvl w:val="0"/>
          <w:numId w:val="4"/>
        </w:numPr>
        <w:rPr>
          <w:rFonts w:asciiTheme="majorHAnsi" w:hAnsiTheme="majorHAnsi"/>
          <w:b/>
          <w:bCs/>
          <w:noProof/>
          <w:szCs w:val="40"/>
        </w:rPr>
      </w:pPr>
      <w:r w:rsidRPr="00CA5C08">
        <w:t>Enhance digital operations and asset efficiency.</w:t>
      </w:r>
    </w:p>
    <w:p w14:paraId="4FAE847A" w14:textId="77777777" w:rsidR="00CA5C08" w:rsidRPr="00CA5C08" w:rsidRDefault="00CA5C08" w:rsidP="00CA5C08">
      <w:pPr>
        <w:pStyle w:val="ListParagraph"/>
        <w:numPr>
          <w:ilvl w:val="0"/>
          <w:numId w:val="4"/>
        </w:numPr>
        <w:rPr>
          <w:rFonts w:asciiTheme="majorHAnsi" w:hAnsiTheme="majorHAnsi"/>
          <w:b/>
          <w:bCs/>
          <w:noProof/>
          <w:szCs w:val="40"/>
        </w:rPr>
      </w:pPr>
      <w:r w:rsidRPr="00CA5C08">
        <w:t>Maintain disciplined capital allocation and shareholder returns.</w:t>
      </w:r>
    </w:p>
    <w:p w14:paraId="769D2603" w14:textId="0A3C8B09" w:rsidR="00CA5C08" w:rsidRPr="00CA5C08" w:rsidRDefault="00CA5C08" w:rsidP="00CA5C08">
      <w:pPr>
        <w:pStyle w:val="ListParagraph"/>
        <w:numPr>
          <w:ilvl w:val="0"/>
          <w:numId w:val="4"/>
        </w:numPr>
        <w:rPr>
          <w:rFonts w:asciiTheme="majorHAnsi" w:hAnsiTheme="majorHAnsi"/>
          <w:b/>
          <w:bCs/>
          <w:noProof/>
          <w:szCs w:val="40"/>
        </w:rPr>
      </w:pPr>
      <w:r w:rsidRPr="00CA5C08">
        <w:t xml:space="preserve">Invest in workforce development and community partnerships. </w:t>
      </w:r>
    </w:p>
    <w:p w14:paraId="48B263EC" w14:textId="77777777" w:rsidR="00CA5C08" w:rsidRPr="00CA5C08" w:rsidRDefault="00CA5C08" w:rsidP="00CA5C08"/>
    <w:p w14:paraId="6473BBD1" w14:textId="4886CE17" w:rsidR="00E14577" w:rsidRPr="00DA457B" w:rsidRDefault="00715DD8" w:rsidP="00CA5C08">
      <w:pPr>
        <w:pStyle w:val="Heading2"/>
      </w:pPr>
      <w:r>
        <w:t>Conculsion</w:t>
      </w:r>
    </w:p>
    <w:p w14:paraId="46F93298" w14:textId="696AADDB" w:rsidR="008E5020" w:rsidRDefault="00E14577">
      <w:r w:rsidRPr="00704665">
        <w:t xml:space="preserve">The achievements </w:t>
      </w:r>
      <w:r w:rsidR="007E4360">
        <w:t>of IXULR over</w:t>
      </w:r>
      <w:r w:rsidRPr="00704665">
        <w:t xml:space="preserve"> the past year </w:t>
      </w:r>
      <w:proofErr w:type="gramStart"/>
      <w:r w:rsidRPr="00704665">
        <w:t>are</w:t>
      </w:r>
      <w:proofErr w:type="gramEnd"/>
      <w:r w:rsidRPr="00704665">
        <w:t xml:space="preserve"> a testament to the dedication and hard work of our team. We are grateful for the support of our stakeholders and look forward to continuing our journey of growth and innovation.</w:t>
      </w:r>
    </w:p>
    <w:sectPr w:rsidR="008E5020" w:rsidSect="00A73656">
      <w:pgSz w:w="12240" w:h="15840" w:code="1"/>
      <w:pgMar w:top="1440" w:right="1152" w:bottom="720" w:left="1152" w:header="432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F49E0" w14:textId="77777777" w:rsidR="0080553A" w:rsidRDefault="0080553A" w:rsidP="00E14577">
      <w:pPr>
        <w:spacing w:before="0" w:line="240" w:lineRule="auto"/>
      </w:pPr>
      <w:r>
        <w:separator/>
      </w:r>
    </w:p>
  </w:endnote>
  <w:endnote w:type="continuationSeparator" w:id="0">
    <w:p w14:paraId="54B9D2BC" w14:textId="77777777" w:rsidR="0080553A" w:rsidRDefault="0080553A" w:rsidP="00E145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7D912" w14:textId="77777777" w:rsidR="008A6801" w:rsidRDefault="008A6801" w:rsidP="00D30526">
    <w:pPr>
      <w:pStyle w:val="Footer"/>
      <w:ind w:firstLine="360"/>
      <w:jc w:val="cent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1ECE44A0" wp14:editId="723DFF9D">
              <wp:simplePos x="0" y="0"/>
              <wp:positionH relativeFrom="page">
                <wp:align>right</wp:align>
              </wp:positionH>
              <wp:positionV relativeFrom="page">
                <wp:posOffset>9543415</wp:posOffset>
              </wp:positionV>
              <wp:extent cx="7772400" cy="516255"/>
              <wp:effectExtent l="0" t="0" r="0" b="0"/>
              <wp:wrapNone/>
              <wp:docPr id="1660517193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16255"/>
                      </a:xfrm>
                      <a:prstGeom prst="rect">
                        <a:avLst/>
                      </a:prstGeom>
                      <a:solidFill>
                        <a:srgbClr val="F785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44E4EA" id="Rectangle 1" o:spid="_x0000_s1026" alt="&quot;&quot;" style="position:absolute;margin-left:560.8pt;margin-top:751.45pt;width:612pt;height:40.65pt;z-index:-25165516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" fillcolor="#f78507" stroked="f" strokeweight="1pt">
              <w10:wrap anchorx="page" anchory="page"/>
              <w10:anchorlock/>
            </v:rect>
          </w:pict>
        </mc:Fallback>
      </mc:AlternateContent>
    </w:r>
  </w:p>
  <w:p w14:paraId="7C3F4833" w14:textId="77777777" w:rsidR="00E14577" w:rsidRPr="00E14577" w:rsidRDefault="003C44A7" w:rsidP="00D30526">
    <w:pPr>
      <w:pStyle w:val="Footer"/>
      <w:ind w:firstLine="360"/>
      <w:jc w:val="center"/>
      <w:rPr>
        <w:sz w:val="24"/>
      </w:rPr>
    </w:pPr>
    <w:r>
      <w:t>w</w:t>
    </w:r>
    <w:r w:rsidR="00E14577" w:rsidRPr="009C2F74">
      <w:t>ww.vanarsdelltd.co</w:t>
    </w:r>
    <w:r w:rsidR="00E14577">
      <w:t>m</w:t>
    </w:r>
  </w:p>
  <w:p w14:paraId="22C1C35E" w14:textId="77777777" w:rsidR="00E14577" w:rsidRDefault="00E145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FF450" w14:textId="77777777" w:rsidR="0080553A" w:rsidRDefault="0080553A" w:rsidP="00E14577">
      <w:pPr>
        <w:spacing w:before="0" w:line="240" w:lineRule="auto"/>
      </w:pPr>
      <w:r>
        <w:separator/>
      </w:r>
    </w:p>
  </w:footnote>
  <w:footnote w:type="continuationSeparator" w:id="0">
    <w:p w14:paraId="441AB627" w14:textId="77777777" w:rsidR="0080553A" w:rsidRDefault="0080553A" w:rsidP="00E1457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86455145"/>
      <w:docPartObj>
        <w:docPartGallery w:val="Page Numbers (Top of Page)"/>
        <w:docPartUnique/>
      </w:docPartObj>
    </w:sdtPr>
    <w:sdtContent>
      <w:p w14:paraId="18954B40" w14:textId="77777777" w:rsidR="00E14577" w:rsidRDefault="00E14577" w:rsidP="00A62354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2749F75" w14:textId="77777777" w:rsidR="00E14577" w:rsidRDefault="00E14577" w:rsidP="00E14577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01513015"/>
      <w:docPartObj>
        <w:docPartGallery w:val="Page Numbers (Top of Page)"/>
        <w:docPartUnique/>
      </w:docPartObj>
    </w:sdtPr>
    <w:sdtContent>
      <w:p w14:paraId="4C8CF634" w14:textId="77777777" w:rsidR="00E14577" w:rsidRDefault="00E14577" w:rsidP="00E14577">
        <w:pPr>
          <w:pStyle w:val="Footer"/>
          <w:rPr>
            <w:rStyle w:val="PageNumber"/>
          </w:rPr>
        </w:pPr>
        <w:r>
          <w:rPr>
            <w:noProof/>
            <w14:ligatures w14:val="standardContextual"/>
          </w:rPr>
          <mc:AlternateContent>
            <mc:Choice Requires="wps">
              <w:drawing>
                <wp:anchor distT="0" distB="0" distL="114300" distR="114300" simplePos="0" relativeHeight="251659264" behindDoc="1" locked="1" layoutInCell="1" allowOverlap="1" wp14:anchorId="7E7D903A" wp14:editId="183C471E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-265430</wp:posOffset>
                  </wp:positionV>
                  <wp:extent cx="1700784" cy="640080"/>
                  <wp:effectExtent l="0" t="0" r="0" b="7620"/>
                  <wp:wrapNone/>
                  <wp:docPr id="1130146015" name="Rectangl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700784" cy="640080"/>
                          </a:xfrm>
                          <a:prstGeom prst="rect">
                            <a:avLst/>
                          </a:prstGeom>
                          <a:solidFill>
                            <a:srgbClr val="F7850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A8E945E" id="Rectangle 1" o:spid="_x0000_s1026" alt="&quot;&quot;" style="position:absolute;margin-left:-1in;margin-top:-20.9pt;width:133.9pt;height:5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" fillcolor="#f78507" stroked="f" strokeweight="1pt">
                  <w10:anchorlock/>
                </v:rect>
              </w:pict>
            </mc:Fallback>
          </mc:AlternateConten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CE1709" w14:textId="77777777" w:rsidR="00E14577" w:rsidRDefault="00E14577" w:rsidP="00E14577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5DE66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9F2FFA"/>
    <w:multiLevelType w:val="multilevel"/>
    <w:tmpl w:val="9CF27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54AE8"/>
    <w:multiLevelType w:val="hybridMultilevel"/>
    <w:tmpl w:val="6BE22186"/>
    <w:lvl w:ilvl="0" w:tplc="E5F458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46CA1"/>
    <w:multiLevelType w:val="hybridMultilevel"/>
    <w:tmpl w:val="C2BE9DB0"/>
    <w:lvl w:ilvl="0" w:tplc="B6C67A1A">
      <w:start w:val="2024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EB56C5"/>
    <w:multiLevelType w:val="hybridMultilevel"/>
    <w:tmpl w:val="F12CA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FC59DC"/>
    <w:multiLevelType w:val="multilevel"/>
    <w:tmpl w:val="9BD0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7143D8"/>
    <w:multiLevelType w:val="multilevel"/>
    <w:tmpl w:val="086E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405310">
    <w:abstractNumId w:val="5"/>
  </w:num>
  <w:num w:numId="2" w16cid:durableId="1276593716">
    <w:abstractNumId w:val="0"/>
  </w:num>
  <w:num w:numId="3" w16cid:durableId="666060343">
    <w:abstractNumId w:val="4"/>
  </w:num>
  <w:num w:numId="4" w16cid:durableId="611787337">
    <w:abstractNumId w:val="2"/>
  </w:num>
  <w:num w:numId="5" w16cid:durableId="1390376759">
    <w:abstractNumId w:val="3"/>
  </w:num>
  <w:num w:numId="6" w16cid:durableId="1438678995">
    <w:abstractNumId w:val="1"/>
  </w:num>
  <w:num w:numId="7" w16cid:durableId="6987031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C85"/>
    <w:rsid w:val="000B7D7E"/>
    <w:rsid w:val="00113F44"/>
    <w:rsid w:val="00174C85"/>
    <w:rsid w:val="00187C41"/>
    <w:rsid w:val="00192AC7"/>
    <w:rsid w:val="001A0A99"/>
    <w:rsid w:val="0025158E"/>
    <w:rsid w:val="002A1D15"/>
    <w:rsid w:val="002B160D"/>
    <w:rsid w:val="00380DD3"/>
    <w:rsid w:val="003C44A7"/>
    <w:rsid w:val="004148F5"/>
    <w:rsid w:val="00421A37"/>
    <w:rsid w:val="0042337F"/>
    <w:rsid w:val="00457A1F"/>
    <w:rsid w:val="004617AE"/>
    <w:rsid w:val="00465A78"/>
    <w:rsid w:val="004C6124"/>
    <w:rsid w:val="00500C4B"/>
    <w:rsid w:val="00502C00"/>
    <w:rsid w:val="00504609"/>
    <w:rsid w:val="0052119A"/>
    <w:rsid w:val="00523A54"/>
    <w:rsid w:val="00542955"/>
    <w:rsid w:val="00600D3F"/>
    <w:rsid w:val="006256E2"/>
    <w:rsid w:val="006843C8"/>
    <w:rsid w:val="006B1ECB"/>
    <w:rsid w:val="00715DD8"/>
    <w:rsid w:val="0077342D"/>
    <w:rsid w:val="00797982"/>
    <w:rsid w:val="007B7736"/>
    <w:rsid w:val="007E4360"/>
    <w:rsid w:val="007F2A50"/>
    <w:rsid w:val="0080553A"/>
    <w:rsid w:val="008377C0"/>
    <w:rsid w:val="008628A3"/>
    <w:rsid w:val="008926FB"/>
    <w:rsid w:val="008927C0"/>
    <w:rsid w:val="008A0AE6"/>
    <w:rsid w:val="008A5444"/>
    <w:rsid w:val="008A6801"/>
    <w:rsid w:val="008B40B1"/>
    <w:rsid w:val="008D3879"/>
    <w:rsid w:val="008E5020"/>
    <w:rsid w:val="009224EA"/>
    <w:rsid w:val="00931508"/>
    <w:rsid w:val="00970278"/>
    <w:rsid w:val="00983B2E"/>
    <w:rsid w:val="009B07AD"/>
    <w:rsid w:val="009C36B2"/>
    <w:rsid w:val="009D6230"/>
    <w:rsid w:val="00A26D0E"/>
    <w:rsid w:val="00A33B91"/>
    <w:rsid w:val="00A73656"/>
    <w:rsid w:val="00AC4272"/>
    <w:rsid w:val="00B1628C"/>
    <w:rsid w:val="00B561B6"/>
    <w:rsid w:val="00B62D04"/>
    <w:rsid w:val="00BD267F"/>
    <w:rsid w:val="00C54A6E"/>
    <w:rsid w:val="00C8517B"/>
    <w:rsid w:val="00CA5C08"/>
    <w:rsid w:val="00CB07C1"/>
    <w:rsid w:val="00CF1539"/>
    <w:rsid w:val="00D30526"/>
    <w:rsid w:val="00D41196"/>
    <w:rsid w:val="00D81EA7"/>
    <w:rsid w:val="00D932F8"/>
    <w:rsid w:val="00DB7B3F"/>
    <w:rsid w:val="00E14577"/>
    <w:rsid w:val="00E16F84"/>
    <w:rsid w:val="00E2100F"/>
    <w:rsid w:val="00E87301"/>
    <w:rsid w:val="00EA11AA"/>
    <w:rsid w:val="00EA1E83"/>
    <w:rsid w:val="00EA5E9E"/>
    <w:rsid w:val="00EB0185"/>
    <w:rsid w:val="00F24925"/>
    <w:rsid w:val="00F33867"/>
    <w:rsid w:val="00F944C0"/>
    <w:rsid w:val="00FB0D9C"/>
    <w:rsid w:val="00FF05FA"/>
    <w:rsid w:val="00FF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C5C607"/>
  <w15:chartTrackingRefBased/>
  <w15:docId w15:val="{977F1EF7-426B-435F-9925-FAF585B1B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1196"/>
    <w:pPr>
      <w:spacing w:before="120" w:after="0" w:line="312" w:lineRule="auto"/>
    </w:pPr>
    <w:rPr>
      <w:rFonts w:eastAsiaTheme="minorEastAsia"/>
      <w:color w:val="000000" w:themeColor="text1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196"/>
    <w:pPr>
      <w:keepNext/>
      <w:keepLines/>
      <w:framePr w:hSpace="180" w:wrap="around" w:vAnchor="page" w:hAnchor="margin" w:y="5119"/>
      <w:spacing w:before="360" w:after="80"/>
      <w:outlineLvl w:val="0"/>
    </w:pPr>
    <w:rPr>
      <w:rFonts w:asciiTheme="majorHAnsi" w:eastAsiaTheme="majorEastAsia" w:hAnsiTheme="majorHAnsi" w:cs="Times New Roman (Headings CS)"/>
      <w:b/>
      <w:caps/>
      <w:color w:val="FFFFFF" w:themeColor="background1"/>
      <w:sz w:val="52"/>
      <w:szCs w:val="40"/>
    </w:rPr>
  </w:style>
  <w:style w:type="paragraph" w:styleId="Heading2">
    <w:name w:val="heading 2"/>
    <w:basedOn w:val="Bold"/>
    <w:next w:val="Normal"/>
    <w:link w:val="Heading2Char"/>
    <w:uiPriority w:val="9"/>
    <w:unhideWhenUsed/>
    <w:qFormat/>
    <w:rsid w:val="00D41196"/>
    <w:pPr>
      <w:outlineLvl w:val="1"/>
    </w:pPr>
    <w:rPr>
      <w:noProof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4577"/>
    <w:pPr>
      <w:keepNext/>
      <w:keepLines/>
      <w:spacing w:before="160" w:after="80"/>
      <w:outlineLvl w:val="2"/>
    </w:pPr>
    <w:rPr>
      <w:rFonts w:eastAsiaTheme="majorEastAsia" w:cstheme="majorBidi"/>
      <w:color w:val="039A6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45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39A6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4577"/>
    <w:pPr>
      <w:keepNext/>
      <w:keepLines/>
      <w:spacing w:before="80" w:after="40"/>
      <w:outlineLvl w:val="4"/>
    </w:pPr>
    <w:rPr>
      <w:rFonts w:eastAsiaTheme="majorEastAsia" w:cstheme="majorBidi"/>
      <w:color w:val="039A6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45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45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45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45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196"/>
    <w:rPr>
      <w:rFonts w:asciiTheme="majorHAnsi" w:eastAsiaTheme="majorEastAsia" w:hAnsiTheme="majorHAnsi" w:cs="Times New Roman (Headings CS)"/>
      <w:b/>
      <w:caps/>
      <w:color w:val="FFFFFF" w:themeColor="background1"/>
      <w:kern w:val="0"/>
      <w:sz w:val="5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41196"/>
    <w:rPr>
      <w:rFonts w:asciiTheme="majorHAnsi" w:eastAsiaTheme="minorEastAsia" w:hAnsiTheme="majorHAnsi"/>
      <w:b/>
      <w:bCs/>
      <w:noProof/>
      <w:color w:val="000000" w:themeColor="text1"/>
      <w:kern w:val="0"/>
      <w:szCs w:val="4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4577"/>
    <w:rPr>
      <w:rFonts w:eastAsiaTheme="majorEastAsia" w:cstheme="majorBidi"/>
      <w:color w:val="039A6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4577"/>
    <w:rPr>
      <w:rFonts w:eastAsiaTheme="majorEastAsia" w:cstheme="majorBidi"/>
      <w:i/>
      <w:iCs/>
      <w:color w:val="039A6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4577"/>
    <w:rPr>
      <w:rFonts w:eastAsiaTheme="majorEastAsia" w:cstheme="majorBidi"/>
      <w:color w:val="039A6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45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45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45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45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"/>
    <w:qFormat/>
    <w:rsid w:val="00D41196"/>
    <w:pPr>
      <w:spacing w:before="0" w:line="216" w:lineRule="auto"/>
      <w:contextualSpacing/>
    </w:pPr>
    <w:rPr>
      <w:rFonts w:eastAsiaTheme="majorEastAsia" w:cs="Times New Roman (Headings CS)"/>
      <w:b/>
      <w:caps/>
      <w:color w:val="auto"/>
      <w:spacing w:val="-10"/>
      <w:kern w:val="28"/>
      <w:sz w:val="9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"/>
    <w:rsid w:val="00D41196"/>
    <w:rPr>
      <w:rFonts w:eastAsiaTheme="majorEastAsia" w:cs="Times New Roman (Headings CS)"/>
      <w:b/>
      <w:caps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45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45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45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45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45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4577"/>
    <w:rPr>
      <w:i/>
      <w:iCs/>
      <w:color w:val="039A6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4577"/>
    <w:pPr>
      <w:pBdr>
        <w:top w:val="single" w:sz="4" w:space="10" w:color="039A6C" w:themeColor="accent1" w:themeShade="BF"/>
        <w:bottom w:val="single" w:sz="4" w:space="10" w:color="039A6C" w:themeColor="accent1" w:themeShade="BF"/>
      </w:pBdr>
      <w:spacing w:before="360" w:after="360"/>
      <w:ind w:left="864" w:right="864"/>
      <w:jc w:val="center"/>
    </w:pPr>
    <w:rPr>
      <w:i/>
      <w:iCs/>
      <w:color w:val="039A6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4577"/>
    <w:rPr>
      <w:i/>
      <w:iCs/>
      <w:color w:val="039A6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4577"/>
    <w:rPr>
      <w:b/>
      <w:bCs/>
      <w:smallCaps/>
      <w:color w:val="039A6C" w:themeColor="accent1" w:themeShade="BF"/>
      <w:spacing w:val="5"/>
    </w:rPr>
  </w:style>
  <w:style w:type="paragraph" w:customStyle="1" w:styleId="Info">
    <w:name w:val="Info"/>
    <w:basedOn w:val="Normal"/>
    <w:qFormat/>
    <w:rsid w:val="00CF1539"/>
    <w:pPr>
      <w:framePr w:hSpace="180" w:wrap="around" w:vAnchor="page" w:hAnchor="margin" w:y="5119"/>
      <w:spacing w:before="0"/>
    </w:pPr>
    <w:rPr>
      <w:szCs w:val="24"/>
    </w:rPr>
  </w:style>
  <w:style w:type="paragraph" w:customStyle="1" w:styleId="Bold">
    <w:name w:val="Bold"/>
    <w:basedOn w:val="Normal"/>
    <w:qFormat/>
    <w:rsid w:val="00D41196"/>
    <w:rPr>
      <w:rFonts w:asciiTheme="majorHAnsi" w:hAnsiTheme="majorHAnsi"/>
      <w:b/>
      <w:bCs/>
    </w:rPr>
  </w:style>
  <w:style w:type="table" w:styleId="TableGrid">
    <w:name w:val="Table Grid"/>
    <w:basedOn w:val="TableNormal"/>
    <w:uiPriority w:val="39"/>
    <w:rsid w:val="00E14577"/>
    <w:pPr>
      <w:spacing w:after="0" w:line="240" w:lineRule="auto"/>
    </w:pPr>
    <w:rPr>
      <w:kern w:val="0"/>
      <w:sz w:val="18"/>
      <w:szCs w:val="1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1457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457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77"/>
    <w:rPr>
      <w:rFonts w:eastAsiaTheme="minorEastAsia"/>
      <w:color w:val="000000" w:themeColor="text1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561B6"/>
    <w:pPr>
      <w:tabs>
        <w:tab w:val="center" w:pos="4680"/>
        <w:tab w:val="right" w:pos="9360"/>
      </w:tabs>
      <w:spacing w:before="0" w:line="240" w:lineRule="auto"/>
    </w:pPr>
    <w:rPr>
      <w:rFonts w:cs="Times New Roman (Body CS)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561B6"/>
    <w:rPr>
      <w:rFonts w:ascii="Microsoft Sans Serif" w:eastAsiaTheme="minorEastAsia" w:hAnsi="Microsoft Sans Serif" w:cs="Times New Roman (Body CS)"/>
      <w:color w:val="000000" w:themeColor="text1"/>
      <w:kern w:val="0"/>
      <w:sz w:val="20"/>
      <w:szCs w:val="22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14577"/>
  </w:style>
  <w:style w:type="paragraph" w:styleId="ListBullet">
    <w:name w:val="List Bullet"/>
    <w:basedOn w:val="Normal"/>
    <w:uiPriority w:val="99"/>
    <w:rsid w:val="00D41196"/>
    <w:pPr>
      <w:numPr>
        <w:numId w:val="2"/>
      </w:numPr>
    </w:pPr>
  </w:style>
  <w:style w:type="character" w:styleId="Emphasis">
    <w:name w:val="Emphasis"/>
    <w:basedOn w:val="DefaultParagraphFont"/>
    <w:uiPriority w:val="20"/>
    <w:qFormat/>
    <w:rsid w:val="00D41196"/>
    <w:rPr>
      <w:b/>
      <w:i w:val="0"/>
      <w:iCs/>
    </w:rPr>
  </w:style>
  <w:style w:type="paragraph" w:styleId="NormalWeb">
    <w:name w:val="Normal (Web)"/>
    <w:basedOn w:val="Normal"/>
    <w:uiPriority w:val="99"/>
    <w:unhideWhenUsed/>
    <w:rsid w:val="00461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character" w:styleId="Strong">
    <w:name w:val="Strong"/>
    <w:basedOn w:val="DefaultParagraphFont"/>
    <w:uiPriority w:val="22"/>
    <w:qFormat/>
    <w:rsid w:val="004617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Rodriguez\AppData\Local\Microsoft\Office\16.0\DTS\en-US%7b2167BA11-41FF-40A8-8B6D-0393F9430C7A%7d\%7b6A79EFCB-7923-43B5-A977-F0B59A4D9A0D%7dTF15d030a7-4d0a-4c1c-8a3e-3a7590a124cedd8a6b98_win32-38785b346894.dotx" TargetMode="External"/></Relationships>
</file>

<file path=word/theme/theme1.xml><?xml version="1.0" encoding="utf-8"?>
<a:theme xmlns:a="http://schemas.openxmlformats.org/drawingml/2006/main" name="Office Theme">
  <a:themeElements>
    <a:clrScheme name="Business report professional design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05CF92"/>
      </a:accent1>
      <a:accent2>
        <a:srgbClr val="0054B9"/>
      </a:accent2>
      <a:accent3>
        <a:srgbClr val="FDE700"/>
      </a:accent3>
      <a:accent4>
        <a:srgbClr val="F160B7"/>
      </a:accent4>
      <a:accent5>
        <a:srgbClr val="714EEB"/>
      </a:accent5>
      <a:accent6>
        <a:srgbClr val="FF3A2E"/>
      </a:accent6>
      <a:hlink>
        <a:srgbClr val="467886"/>
      </a:hlink>
      <a:folHlink>
        <a:srgbClr val="96607D"/>
      </a:folHlink>
    </a:clrScheme>
    <a:fontScheme name="Custom 21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A94286-1488-4B05-BE05-620B873327F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5FCA0720-E518-4C54-8EC1-2FF547E897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A05782-1956-4ABD-9469-5855286A5A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{6A79EFCB-7923-43B5-A977-F0B59A4D9A0D}TF15d030a7-4d0a-4c1c-8a3e-3a7590a124cedd8a6b98_win32-38785b346894</Template>
  <TotalTime>1398</TotalTime>
  <Pages>3</Pages>
  <Words>420</Words>
  <Characters>2612</Characters>
  <Application>Microsoft Office Word</Application>
  <DocSecurity>0</DocSecurity>
  <Lines>77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Rodriguez</dc:creator>
  <cp:keywords/>
  <dc:description/>
  <cp:lastModifiedBy>Karen Rodriguez</cp:lastModifiedBy>
  <cp:revision>31</cp:revision>
  <cp:lastPrinted>2025-05-01T20:47:00Z</cp:lastPrinted>
  <dcterms:created xsi:type="dcterms:W3CDTF">2025-10-22T20:31:00Z</dcterms:created>
  <dcterms:modified xsi:type="dcterms:W3CDTF">2025-10-24T19:48:00Z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