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D5134" w14:textId="77777777" w:rsidR="00E14577" w:rsidRDefault="00E14577">
      <w:r w:rsidRPr="00465AC6">
        <w:rPr>
          <w:noProof/>
        </w:rPr>
        <w:drawing>
          <wp:anchor distT="0" distB="0" distL="114300" distR="114300" simplePos="0" relativeHeight="251659264" behindDoc="1" locked="1" layoutInCell="1" allowOverlap="1" wp14:anchorId="6116B9BF" wp14:editId="28FBE351">
            <wp:simplePos x="0" y="0"/>
            <wp:positionH relativeFrom="column">
              <wp:posOffset>-733425</wp:posOffset>
            </wp:positionH>
            <wp:positionV relativeFrom="paragraph">
              <wp:posOffset>-2746375</wp:posOffset>
            </wp:positionV>
            <wp:extent cx="7772400" cy="10058400"/>
            <wp:effectExtent l="0" t="0" r="0" b="0"/>
            <wp:wrapNone/>
            <wp:docPr id="1" name="Picture 1" descr="detail of city buildings in black&am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rotWithShape="1">
                    <a:blip r:embed="rId10" cstate="print">
                      <a:extLst>
                        <a:ext uri="{28A0092B-C50C-407E-A947-70E740481C1C}">
                          <a14:useLocalDpi xmlns:a14="http://schemas.microsoft.com/office/drawing/2010/main" val="0"/>
                        </a:ext>
                      </a:extLst>
                    </a:blip>
                    <a:srcRect l="11" r="11"/>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465AC6">
        <w:rPr>
          <w:noProof/>
        </w:rPr>
        <mc:AlternateContent>
          <mc:Choice Requires="wps">
            <w:drawing>
              <wp:anchor distT="0" distB="0" distL="114300" distR="114300" simplePos="0" relativeHeight="251660288" behindDoc="1" locked="1" layoutInCell="1" allowOverlap="1" wp14:anchorId="2E4B81E9" wp14:editId="456AFAB7">
                <wp:simplePos x="0" y="0"/>
                <wp:positionH relativeFrom="column">
                  <wp:posOffset>-731520</wp:posOffset>
                </wp:positionH>
                <wp:positionV relativeFrom="paragraph">
                  <wp:posOffset>273050</wp:posOffset>
                </wp:positionV>
                <wp:extent cx="6702425" cy="4023360"/>
                <wp:effectExtent l="0" t="0" r="317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2425" cy="4023360"/>
                        </a:xfrm>
                        <a:prstGeom prst="rect">
                          <a:avLst/>
                        </a:prstGeom>
                        <a:solidFill>
                          <a:srgbClr val="F7850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EAE0C" id="Rectangle 2" o:spid="_x0000_s1026" alt="&quot;&quot;" style="position:absolute;margin-left:-57.6pt;margin-top:21.5pt;width:527.75pt;height:31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" fillcolor="#f78507" stroked="f" strokeweight="1pt">
                <w10:anchorlock/>
              </v:rect>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5"/>
      </w:tblGrid>
      <w:tr w:rsidR="00A73656" w14:paraId="6AC52662" w14:textId="77777777" w:rsidTr="004148F5">
        <w:trPr>
          <w:trHeight w:val="2214"/>
        </w:trPr>
        <w:tc>
          <w:tcPr>
            <w:tcW w:w="6011" w:type="dxa"/>
            <w:gridSpan w:val="2"/>
            <w:tcMar>
              <w:top w:w="576" w:type="dxa"/>
              <w:left w:w="115" w:type="dxa"/>
              <w:right w:w="115" w:type="dxa"/>
            </w:tcMar>
          </w:tcPr>
          <w:p w14:paraId="1E611807" w14:textId="00EEA2C0" w:rsidR="00A73656" w:rsidRDefault="0041749D" w:rsidP="00174C85">
            <w:pPr>
              <w:pStyle w:val="Title"/>
            </w:pPr>
            <w:r>
              <w:t>Proxy Statem</w:t>
            </w:r>
            <w:r w:rsidR="002F7760">
              <w:t>e</w:t>
            </w:r>
            <w:r>
              <w:t>nt</w:t>
            </w:r>
          </w:p>
        </w:tc>
        <w:tc>
          <w:tcPr>
            <w:tcW w:w="3005" w:type="dxa"/>
            <w:tcMar>
              <w:top w:w="576" w:type="dxa"/>
            </w:tcMar>
          </w:tcPr>
          <w:p w14:paraId="0DE379D2" w14:textId="77777777" w:rsidR="00A73656" w:rsidRDefault="00A73656" w:rsidP="00174C85">
            <w:pPr>
              <w:spacing w:after="200"/>
            </w:pPr>
          </w:p>
        </w:tc>
      </w:tr>
      <w:tr w:rsidR="00A73656" w14:paraId="55586D47" w14:textId="77777777" w:rsidTr="00174C85">
        <w:trPr>
          <w:trHeight w:val="891"/>
        </w:trPr>
        <w:tc>
          <w:tcPr>
            <w:tcW w:w="6011" w:type="dxa"/>
            <w:gridSpan w:val="2"/>
            <w:tcMar>
              <w:top w:w="1080" w:type="dxa"/>
              <w:left w:w="115" w:type="dxa"/>
              <w:right w:w="115" w:type="dxa"/>
            </w:tcMar>
          </w:tcPr>
          <w:p w14:paraId="48A900A4" w14:textId="09606766" w:rsidR="00A73656" w:rsidRDefault="00174C85" w:rsidP="00174C85">
            <w:pPr>
              <w:pStyle w:val="Bold"/>
            </w:pPr>
            <w:r>
              <w:t>IXULR Pty Ltd.</w:t>
            </w:r>
          </w:p>
        </w:tc>
        <w:tc>
          <w:tcPr>
            <w:tcW w:w="3005" w:type="dxa"/>
            <w:tcMar>
              <w:top w:w="1080" w:type="dxa"/>
              <w:left w:w="115" w:type="dxa"/>
              <w:right w:w="115" w:type="dxa"/>
            </w:tcMar>
          </w:tcPr>
          <w:p w14:paraId="168A5E82" w14:textId="77777777" w:rsidR="00A73656" w:rsidRDefault="00A73656" w:rsidP="00174C85">
            <w:pPr>
              <w:spacing w:after="200"/>
            </w:pPr>
          </w:p>
        </w:tc>
      </w:tr>
      <w:tr w:rsidR="00A73656" w:rsidRPr="00C96056" w14:paraId="725C1D95" w14:textId="77777777" w:rsidTr="00174C85">
        <w:trPr>
          <w:trHeight w:val="2207"/>
        </w:trPr>
        <w:tc>
          <w:tcPr>
            <w:tcW w:w="3005" w:type="dxa"/>
          </w:tcPr>
          <w:p w14:paraId="65FCD846" w14:textId="77777777" w:rsidR="00105A89" w:rsidRDefault="00105A89" w:rsidP="00105A89">
            <w:pPr>
              <w:pStyle w:val="NormalWeb"/>
            </w:pPr>
          </w:p>
          <w:p w14:paraId="6A62A05B" w14:textId="705AC9CE" w:rsidR="00DB7B3F" w:rsidRPr="00105A89" w:rsidRDefault="00105A89" w:rsidP="00105A89">
            <w:pPr>
              <w:pStyle w:val="NormalWeb"/>
            </w:pPr>
            <w:r>
              <w:rPr>
                <w:noProof/>
              </w:rPr>
              <w:drawing>
                <wp:inline distT="0" distB="0" distL="0" distR="0" wp14:anchorId="5B1B55CE" wp14:editId="2F4910B1">
                  <wp:extent cx="1102179" cy="209550"/>
                  <wp:effectExtent l="0" t="0" r="317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7112" cy="216192"/>
                          </a:xfrm>
                          <a:prstGeom prst="rect">
                            <a:avLst/>
                          </a:prstGeom>
                          <a:noFill/>
                          <a:ln>
                            <a:noFill/>
                          </a:ln>
                        </pic:spPr>
                      </pic:pic>
                    </a:graphicData>
                  </a:graphic>
                </wp:inline>
              </w:drawing>
            </w:r>
          </w:p>
        </w:tc>
        <w:tc>
          <w:tcPr>
            <w:tcW w:w="3006" w:type="dxa"/>
          </w:tcPr>
          <w:p w14:paraId="520BC9A2" w14:textId="77777777" w:rsidR="00105A89" w:rsidRDefault="00105A89" w:rsidP="004148F5">
            <w:pPr>
              <w:pStyle w:val="Info"/>
              <w:framePr w:hSpace="0" w:wrap="auto" w:vAnchor="margin" w:hAnchor="text" w:yAlign="inline"/>
              <w:rPr>
                <w:sz w:val="24"/>
              </w:rPr>
            </w:pPr>
          </w:p>
          <w:p w14:paraId="2935EFF6" w14:textId="3001D9C3" w:rsidR="004148F5" w:rsidRPr="007B7736" w:rsidRDefault="004148F5" w:rsidP="004148F5">
            <w:pPr>
              <w:pStyle w:val="Info"/>
              <w:framePr w:hSpace="0" w:wrap="auto" w:vAnchor="margin" w:hAnchor="text" w:yAlign="inline"/>
              <w:rPr>
                <w:sz w:val="24"/>
              </w:rPr>
            </w:pPr>
            <w:r>
              <w:rPr>
                <w:sz w:val="24"/>
              </w:rPr>
              <w:t>Chief Executive</w:t>
            </w:r>
          </w:p>
          <w:p w14:paraId="1AF6A785" w14:textId="5ED02CDE" w:rsidR="00A73656" w:rsidRPr="007B7736" w:rsidRDefault="004148F5" w:rsidP="004148F5">
            <w:pPr>
              <w:pStyle w:val="Info"/>
              <w:framePr w:hSpace="0" w:wrap="auto" w:vAnchor="margin" w:hAnchor="text" w:yAlign="inline"/>
              <w:rPr>
                <w:sz w:val="24"/>
              </w:rPr>
            </w:pPr>
            <w:r>
              <w:rPr>
                <w:sz w:val="24"/>
              </w:rPr>
              <w:t>Martin Velazquez</w:t>
            </w:r>
          </w:p>
        </w:tc>
        <w:tc>
          <w:tcPr>
            <w:tcW w:w="3005" w:type="dxa"/>
          </w:tcPr>
          <w:p w14:paraId="0FBF0C57" w14:textId="77777777" w:rsidR="00105A89" w:rsidRDefault="00105A89" w:rsidP="00174C85">
            <w:pPr>
              <w:pStyle w:val="Info"/>
              <w:framePr w:hSpace="0" w:wrap="auto" w:vAnchor="margin" w:hAnchor="text" w:yAlign="inline"/>
              <w:rPr>
                <w:sz w:val="24"/>
              </w:rPr>
            </w:pPr>
          </w:p>
          <w:p w14:paraId="038563E0" w14:textId="294323BF" w:rsidR="00A73656" w:rsidRPr="007B7736" w:rsidRDefault="00174C85" w:rsidP="00174C85">
            <w:pPr>
              <w:pStyle w:val="Info"/>
              <w:framePr w:hSpace="0" w:wrap="auto" w:vAnchor="margin" w:hAnchor="text" w:yAlign="inline"/>
              <w:rPr>
                <w:sz w:val="24"/>
              </w:rPr>
            </w:pPr>
            <w:r>
              <w:rPr>
                <w:sz w:val="24"/>
              </w:rPr>
              <w:t>309</w:t>
            </w:r>
            <w:r w:rsidR="00A73656" w:rsidRPr="007B7736">
              <w:rPr>
                <w:sz w:val="24"/>
              </w:rPr>
              <w:t>-</w:t>
            </w:r>
            <w:r>
              <w:rPr>
                <w:sz w:val="24"/>
              </w:rPr>
              <w:t>443</w:t>
            </w:r>
            <w:r w:rsidR="00A73656" w:rsidRPr="007B7736">
              <w:rPr>
                <w:sz w:val="24"/>
              </w:rPr>
              <w:t>-</w:t>
            </w:r>
            <w:r>
              <w:rPr>
                <w:sz w:val="24"/>
              </w:rPr>
              <w:t>2167</w:t>
            </w:r>
          </w:p>
          <w:p w14:paraId="2F553196" w14:textId="3E15E18D" w:rsidR="00A73656" w:rsidRPr="007B7736" w:rsidRDefault="00A73656" w:rsidP="00174C85">
            <w:pPr>
              <w:pStyle w:val="Info"/>
              <w:framePr w:hSpace="0" w:wrap="auto" w:vAnchor="margin" w:hAnchor="text" w:yAlign="inline"/>
              <w:rPr>
                <w:sz w:val="24"/>
              </w:rPr>
            </w:pPr>
            <w:r w:rsidRPr="007B7736">
              <w:rPr>
                <w:sz w:val="24"/>
              </w:rPr>
              <w:t>www.</w:t>
            </w:r>
            <w:r w:rsidR="00465A78">
              <w:rPr>
                <w:sz w:val="24"/>
              </w:rPr>
              <w:t>ixulr</w:t>
            </w:r>
            <w:r w:rsidRPr="007B7736">
              <w:rPr>
                <w:sz w:val="24"/>
              </w:rPr>
              <w:t>.com</w:t>
            </w:r>
          </w:p>
        </w:tc>
      </w:tr>
      <w:tr w:rsidR="00A73656" w:rsidRPr="00C96056" w14:paraId="2270CB15" w14:textId="77777777" w:rsidTr="00174C85">
        <w:trPr>
          <w:trHeight w:val="1607"/>
        </w:trPr>
        <w:tc>
          <w:tcPr>
            <w:tcW w:w="9016" w:type="dxa"/>
            <w:gridSpan w:val="3"/>
          </w:tcPr>
          <w:p w14:paraId="52E7D204" w14:textId="41D5A8B9" w:rsidR="00A73656" w:rsidRPr="00C96056" w:rsidRDefault="00174C85" w:rsidP="00174C85">
            <w:pPr>
              <w:pStyle w:val="Heading1"/>
              <w:framePr w:hSpace="0" w:wrap="auto" w:vAnchor="margin" w:hAnchor="text" w:yAlign="inline"/>
            </w:pPr>
            <w:r>
              <w:t>202</w:t>
            </w:r>
            <w:r w:rsidR="0041749D">
              <w:t>5</w:t>
            </w:r>
          </w:p>
        </w:tc>
      </w:tr>
    </w:tbl>
    <w:p w14:paraId="5C2BA01F" w14:textId="04BEFE99" w:rsidR="00E14577" w:rsidRDefault="00174C85">
      <w:pPr>
        <w:spacing w:before="0" w:after="160" w:line="278" w:lineRule="auto"/>
      </w:pPr>
      <w:r>
        <w:br w:type="textWrapping" w:clear="all"/>
      </w:r>
    </w:p>
    <w:p w14:paraId="10AAA7A5" w14:textId="77777777" w:rsidR="00A73656" w:rsidRDefault="00A73656" w:rsidP="00D41196">
      <w:pPr>
        <w:pStyle w:val="Heading2"/>
        <w:sectPr w:rsidR="00A73656" w:rsidSect="00A73656">
          <w:headerReference w:type="even" r:id="rId12"/>
          <w:headerReference w:type="default" r:id="rId13"/>
          <w:footerReference w:type="default" r:id="rId14"/>
          <w:pgSz w:w="12240" w:h="15840" w:code="1"/>
          <w:pgMar w:top="4320" w:right="1152" w:bottom="720" w:left="1152" w:header="432" w:footer="144" w:gutter="0"/>
          <w:cols w:space="720"/>
          <w:docGrid w:linePitch="360"/>
        </w:sectPr>
      </w:pPr>
    </w:p>
    <w:p w14:paraId="7DEE2B5F" w14:textId="5F1C1AAA" w:rsidR="00E14577" w:rsidRDefault="00164166" w:rsidP="00D41196">
      <w:pPr>
        <w:pStyle w:val="Heading2"/>
      </w:pPr>
      <w:r>
        <w:lastRenderedPageBreak/>
        <w:t>Notice of 2025 Annual Meeting of Shareholders and Proxy Statement</w:t>
      </w:r>
    </w:p>
    <w:p w14:paraId="3957A4F9" w14:textId="0D1A05E0" w:rsidR="00EB2F09" w:rsidRPr="00AF4205" w:rsidRDefault="0069174B" w:rsidP="000B7D7E">
      <w:pPr>
        <w:rPr>
          <w:b/>
          <w:bCs/>
        </w:rPr>
      </w:pPr>
      <w:r w:rsidRPr="00AF4205">
        <w:rPr>
          <w:b/>
          <w:bCs/>
        </w:rPr>
        <w:t>To be held on</w:t>
      </w:r>
      <w:r w:rsidR="00EB2F09" w:rsidRPr="00AF4205">
        <w:rPr>
          <w:b/>
          <w:bCs/>
        </w:rPr>
        <w:t xml:space="preserve"> </w:t>
      </w:r>
      <w:r w:rsidR="00AF4205" w:rsidRPr="00AF4205">
        <w:rPr>
          <w:b/>
          <w:bCs/>
        </w:rPr>
        <w:t>May</w:t>
      </w:r>
      <w:r w:rsidR="00EB2F09" w:rsidRPr="00AF4205">
        <w:rPr>
          <w:b/>
          <w:bCs/>
        </w:rPr>
        <w:t xml:space="preserve"> 2</w:t>
      </w:r>
      <w:r w:rsidR="00AF4205" w:rsidRPr="00AF4205">
        <w:rPr>
          <w:b/>
          <w:bCs/>
        </w:rPr>
        <w:t>8</w:t>
      </w:r>
      <w:r w:rsidR="00EB2F09" w:rsidRPr="00AF4205">
        <w:rPr>
          <w:b/>
          <w:bCs/>
        </w:rPr>
        <w:t>, 2025 at 10 am CDT</w:t>
      </w:r>
    </w:p>
    <w:p w14:paraId="166EF8A0" w14:textId="77777777" w:rsidR="00AF4205" w:rsidRDefault="00AF4205" w:rsidP="000B7D7E"/>
    <w:p w14:paraId="0DA8E7E3" w14:textId="77777777" w:rsidR="00AF4205" w:rsidRDefault="00AF4205" w:rsidP="000B7D7E">
      <w:r>
        <w:t>Dear Shareholder,</w:t>
      </w:r>
    </w:p>
    <w:p w14:paraId="6A0B09F5" w14:textId="3B67B33E" w:rsidR="000B7D7E" w:rsidRPr="000B7D7E" w:rsidRDefault="00AF4205" w:rsidP="000B7D7E">
      <w:r>
        <w:t>On behalf of the Board of Directors of IXULR</w:t>
      </w:r>
      <w:r w:rsidR="002D31C0">
        <w:t xml:space="preserve">, </w:t>
      </w:r>
      <w:r w:rsidR="002D31C0" w:rsidRPr="002D31C0">
        <w:t xml:space="preserve">you are cordially invited to attend our 2025 Annual Meeting of Shareholders. The meeting will be held virtually on </w:t>
      </w:r>
      <w:r w:rsidR="00EC2BD8">
        <w:t>May 28, 2025 at 10 am CTD</w:t>
      </w:r>
      <w:r w:rsidR="002D31C0" w:rsidRPr="002D31C0">
        <w:t>, at which we will ask shareholders to vote on the following matters:</w:t>
      </w:r>
      <w:r w:rsidR="00EC2BD8">
        <w:t xml:space="preserve"> </w:t>
      </w:r>
    </w:p>
    <w:p w14:paraId="48385E4C" w14:textId="4489F610" w:rsidR="003C44A7" w:rsidRPr="00704665" w:rsidRDefault="003C44A7" w:rsidP="003C44A7"/>
    <w:p w14:paraId="358670DD" w14:textId="7825800C" w:rsidR="00E14577" w:rsidRPr="00704665" w:rsidRDefault="007E33B4" w:rsidP="00D41196">
      <w:pPr>
        <w:pStyle w:val="Heading2"/>
      </w:pPr>
      <w:r>
        <w:t>Agenda of Business</w:t>
      </w:r>
    </w:p>
    <w:p w14:paraId="607DFC91" w14:textId="0F7D4C8A" w:rsidR="00C92363" w:rsidRPr="00C92363" w:rsidRDefault="00C92363" w:rsidP="00C92363">
      <w:pPr>
        <w:pStyle w:val="ListParagraph"/>
        <w:numPr>
          <w:ilvl w:val="0"/>
          <w:numId w:val="10"/>
        </w:numPr>
      </w:pPr>
      <w:r w:rsidRPr="00C92363">
        <w:t>Election of directors to the Board, each to serve until the 2026 annual meeting and until their respective successors are elected and qualified.</w:t>
      </w:r>
    </w:p>
    <w:p w14:paraId="5C4F42AE" w14:textId="54882864" w:rsidR="00C92363" w:rsidRPr="00C92363" w:rsidRDefault="00C92363" w:rsidP="00C92363">
      <w:pPr>
        <w:pStyle w:val="ListParagraph"/>
        <w:numPr>
          <w:ilvl w:val="0"/>
          <w:numId w:val="10"/>
        </w:numPr>
      </w:pPr>
      <w:r w:rsidRPr="00C92363">
        <w:t>Advisory vote to approve the compensation of our Named Executive Officers</w:t>
      </w:r>
      <w:r w:rsidR="002671DB">
        <w:t>.</w:t>
      </w:r>
    </w:p>
    <w:p w14:paraId="67BDFEA6" w14:textId="43ED654A" w:rsidR="00C92363" w:rsidRPr="00C92363" w:rsidRDefault="00C92363" w:rsidP="00C92363">
      <w:pPr>
        <w:pStyle w:val="ListParagraph"/>
        <w:numPr>
          <w:ilvl w:val="0"/>
          <w:numId w:val="10"/>
        </w:numPr>
      </w:pPr>
      <w:r w:rsidRPr="00C92363">
        <w:t xml:space="preserve">Ratification of the appointment of </w:t>
      </w:r>
      <w:r w:rsidR="002671DB">
        <w:t>a</w:t>
      </w:r>
      <w:r w:rsidRPr="00C92363">
        <w:t xml:space="preserve">udit </w:t>
      </w:r>
      <w:r w:rsidR="002671DB">
        <w:t>f</w:t>
      </w:r>
      <w:r w:rsidRPr="00C92363">
        <w:t>i</w:t>
      </w:r>
      <w:r w:rsidR="002671DB">
        <w:t>rm</w:t>
      </w:r>
      <w:r w:rsidRPr="00C92363">
        <w:t xml:space="preserve"> as independent registered public accounting firm for fiscal year 2025.</w:t>
      </w:r>
    </w:p>
    <w:p w14:paraId="7EDF26A7" w14:textId="0A44F643" w:rsidR="00C92363" w:rsidRPr="00C92363" w:rsidRDefault="00C92363" w:rsidP="00C92363">
      <w:pPr>
        <w:pStyle w:val="ListParagraph"/>
        <w:numPr>
          <w:ilvl w:val="0"/>
          <w:numId w:val="10"/>
        </w:numPr>
      </w:pPr>
      <w:r w:rsidRPr="00C92363">
        <w:t>Approval of the IXULR 2025 Equity Incentive Plan (or amendment to the plan) for granting equity awards.</w:t>
      </w:r>
    </w:p>
    <w:p w14:paraId="77656722" w14:textId="335E18CA" w:rsidR="003C44A7" w:rsidRDefault="003C44A7" w:rsidP="00C92363">
      <w:pPr>
        <w:pStyle w:val="Bold"/>
      </w:pPr>
    </w:p>
    <w:p w14:paraId="08327EE0" w14:textId="307C919D" w:rsidR="00E14577" w:rsidRPr="00704665" w:rsidRDefault="003C46B2" w:rsidP="00D41196">
      <w:pPr>
        <w:pStyle w:val="Heading2"/>
      </w:pPr>
      <w:r>
        <w:t>Voting Matters</w:t>
      </w:r>
    </w:p>
    <w:p w14:paraId="651FC3D9" w14:textId="77777777" w:rsidR="003C46B2" w:rsidRDefault="003C46B2" w:rsidP="003C44A7">
      <w:r w:rsidRPr="003C46B2">
        <w:t xml:space="preserve">The Board unanimously recommends a vote </w:t>
      </w:r>
    </w:p>
    <w:p w14:paraId="4BA0C123" w14:textId="77777777" w:rsidR="003C46B2" w:rsidRDefault="003C46B2" w:rsidP="003C44A7">
      <w:r w:rsidRPr="003C46B2">
        <w:rPr>
          <w:b/>
          <w:bCs/>
        </w:rPr>
        <w:t>FOR</w:t>
      </w:r>
      <w:r w:rsidRPr="003C46B2">
        <w:t xml:space="preserve"> the election of each director nominee, </w:t>
      </w:r>
    </w:p>
    <w:p w14:paraId="0EBBBF4B" w14:textId="308724EF" w:rsidR="003C46B2" w:rsidRDefault="003C46B2" w:rsidP="003C44A7">
      <w:r w:rsidRPr="003C46B2">
        <w:rPr>
          <w:b/>
          <w:bCs/>
        </w:rPr>
        <w:t>FOR</w:t>
      </w:r>
      <w:r w:rsidRPr="003C46B2">
        <w:t xml:space="preserve"> the Say on Pay proposal, </w:t>
      </w:r>
    </w:p>
    <w:p w14:paraId="31CC5084" w14:textId="77777777" w:rsidR="003C46B2" w:rsidRDefault="003C46B2" w:rsidP="003C44A7">
      <w:r w:rsidRPr="003C46B2">
        <w:rPr>
          <w:b/>
          <w:bCs/>
        </w:rPr>
        <w:t>FOR</w:t>
      </w:r>
      <w:r w:rsidRPr="003C46B2">
        <w:t xml:space="preserve"> the ratification of the independent accounting firm, and </w:t>
      </w:r>
    </w:p>
    <w:p w14:paraId="6A393A86" w14:textId="77777777" w:rsidR="003C46B2" w:rsidRDefault="003C46B2" w:rsidP="003C44A7">
      <w:r w:rsidRPr="003C46B2">
        <w:rPr>
          <w:b/>
          <w:bCs/>
        </w:rPr>
        <w:t>FOR</w:t>
      </w:r>
      <w:r w:rsidRPr="003C46B2">
        <w:t xml:space="preserve"> approval of the equity incentive plan.</w:t>
      </w:r>
    </w:p>
    <w:p w14:paraId="1588BBA9" w14:textId="233EE649" w:rsidR="003C46B2" w:rsidRDefault="003C46B2" w:rsidP="003C44A7">
      <w:r w:rsidRPr="003C46B2">
        <w:br/>
        <w:t xml:space="preserve">Shareholders of record at the close of business on </w:t>
      </w:r>
      <w:r w:rsidR="00EE38B3">
        <w:t>May 28, 2025</w:t>
      </w:r>
      <w:r w:rsidRPr="003C46B2">
        <w:t xml:space="preserve"> are entitled to notice of and to vote at the Annual Meeting. Instructions to vote by internet, telephone, or mail are provided in the proxy materials.</w:t>
      </w:r>
    </w:p>
    <w:p w14:paraId="1B6D1F22" w14:textId="77777777" w:rsidR="00A26D0E" w:rsidRDefault="00A26D0E" w:rsidP="00A26D0E">
      <w:pPr>
        <w:rPr>
          <w:b/>
          <w:bCs/>
        </w:rPr>
      </w:pPr>
    </w:p>
    <w:p w14:paraId="14CA1FA0" w14:textId="77777777" w:rsidR="00EE38B3" w:rsidRDefault="00EE38B3" w:rsidP="00A26D0E">
      <w:pPr>
        <w:rPr>
          <w:b/>
          <w:bCs/>
        </w:rPr>
      </w:pPr>
    </w:p>
    <w:p w14:paraId="19016FDB" w14:textId="77777777" w:rsidR="00EE38B3" w:rsidRDefault="00EE38B3" w:rsidP="00A26D0E">
      <w:pPr>
        <w:rPr>
          <w:b/>
          <w:bCs/>
        </w:rPr>
      </w:pPr>
    </w:p>
    <w:p w14:paraId="4887F2F8" w14:textId="77777777" w:rsidR="00EE38B3" w:rsidRDefault="00EE38B3" w:rsidP="00A26D0E">
      <w:pPr>
        <w:rPr>
          <w:b/>
          <w:bCs/>
        </w:rPr>
      </w:pPr>
    </w:p>
    <w:p w14:paraId="335617EF" w14:textId="77777777" w:rsidR="00EE38B3" w:rsidRDefault="00EE38B3" w:rsidP="00A26D0E">
      <w:pPr>
        <w:rPr>
          <w:b/>
          <w:bCs/>
        </w:rPr>
      </w:pPr>
    </w:p>
    <w:p w14:paraId="3062969C" w14:textId="1B9471BB" w:rsidR="00EA1E83" w:rsidRPr="003C44A7" w:rsidRDefault="00EE38B3" w:rsidP="00EA1E83">
      <w:pPr>
        <w:pStyle w:val="Heading2"/>
      </w:pPr>
      <w:bookmarkStart w:id="0" w:name="_Hlk212122593"/>
      <w:r>
        <w:t>Corporate Governance Highlights</w:t>
      </w:r>
    </w:p>
    <w:bookmarkEnd w:id="0"/>
    <w:p w14:paraId="0DF39109" w14:textId="77777777" w:rsidR="00C74934" w:rsidRPr="00C74934" w:rsidRDefault="00C74934" w:rsidP="00C74934">
      <w:pPr>
        <w:rPr>
          <w:b/>
          <w:bCs/>
        </w:rPr>
      </w:pPr>
      <w:r w:rsidRPr="00C74934">
        <w:rPr>
          <w:b/>
          <w:bCs/>
        </w:rPr>
        <w:t>Board Structure &amp; Independence</w:t>
      </w:r>
    </w:p>
    <w:p w14:paraId="540FBF5D" w14:textId="417E03BE" w:rsidR="00C74934" w:rsidRPr="00C74934" w:rsidRDefault="00C74934" w:rsidP="00C74934">
      <w:pPr>
        <w:numPr>
          <w:ilvl w:val="0"/>
          <w:numId w:val="11"/>
        </w:numPr>
      </w:pPr>
      <w:r w:rsidRPr="00C74934">
        <w:t xml:space="preserve">The Board </w:t>
      </w:r>
      <w:r w:rsidR="00C62006">
        <w:t>consists of</w:t>
      </w:r>
      <w:r w:rsidRPr="00C74934">
        <w:t xml:space="preserve"> </w:t>
      </w:r>
      <w:r w:rsidR="002F58CD">
        <w:t>7</w:t>
      </w:r>
      <w:r w:rsidRPr="00C74934">
        <w:t xml:space="preserve"> members, a majority of whom are independent under applicable exchange and SEC rules.</w:t>
      </w:r>
    </w:p>
    <w:p w14:paraId="7B2D3C5B" w14:textId="5AAFFDE0" w:rsidR="00C74934" w:rsidRPr="00C74934" w:rsidRDefault="00C74934" w:rsidP="00C74934">
      <w:pPr>
        <w:numPr>
          <w:ilvl w:val="0"/>
          <w:numId w:val="11"/>
        </w:numPr>
      </w:pPr>
      <w:r w:rsidRPr="00C74934">
        <w:t>We separate the roles of Chair of the Board and Chief Executive Officer (held by Martin Velazquez) to enhance oversight and governance.</w:t>
      </w:r>
    </w:p>
    <w:p w14:paraId="11716CA4" w14:textId="77777777" w:rsidR="00C74934" w:rsidRPr="00C74934" w:rsidRDefault="00C74934" w:rsidP="00C74934">
      <w:pPr>
        <w:numPr>
          <w:ilvl w:val="0"/>
          <w:numId w:val="11"/>
        </w:numPr>
      </w:pPr>
      <w:r w:rsidRPr="00C74934">
        <w:t>The Board maintains the following standing committees: Audit, Compensation, Nominating &amp; Governance, and Sustainability &amp; Risk Oversight. Each committee is composed entirely of independent directors (except as permitted).</w:t>
      </w:r>
    </w:p>
    <w:p w14:paraId="4761938A" w14:textId="77777777" w:rsidR="00C74934" w:rsidRPr="00C74934" w:rsidRDefault="00C74934" w:rsidP="00C74934">
      <w:pPr>
        <w:numPr>
          <w:ilvl w:val="0"/>
          <w:numId w:val="11"/>
        </w:numPr>
      </w:pPr>
      <w:r w:rsidRPr="00C74934">
        <w:t>The Nominating &amp; Governance Committee oversees board composition, assembly of skills, director independence, and succession planning.</w:t>
      </w:r>
    </w:p>
    <w:p w14:paraId="46B53297" w14:textId="77777777" w:rsidR="00EA1E83" w:rsidRDefault="00EA1E83" w:rsidP="00A26D0E">
      <w:pPr>
        <w:rPr>
          <w:b/>
          <w:bCs/>
        </w:rPr>
      </w:pPr>
    </w:p>
    <w:p w14:paraId="65D18B6D" w14:textId="77777777" w:rsidR="00C74934" w:rsidRPr="00C74934" w:rsidRDefault="00C74934" w:rsidP="00C74934">
      <w:pPr>
        <w:rPr>
          <w:b/>
          <w:bCs/>
        </w:rPr>
      </w:pPr>
      <w:r w:rsidRPr="00C74934">
        <w:rPr>
          <w:b/>
          <w:bCs/>
        </w:rPr>
        <w:t>Board Oversight of Strategy, Risk &amp; Sustainability</w:t>
      </w:r>
    </w:p>
    <w:p w14:paraId="32DED241" w14:textId="77777777" w:rsidR="00C74934" w:rsidRPr="00C74934" w:rsidRDefault="00C74934" w:rsidP="00C74934">
      <w:r w:rsidRPr="00C74934">
        <w:t>The Board routinely reviews IXULR’s business strategy, risk profile (including climate-related risks, cyber risk, operational &amp; safety risk) and sustainability efforts. The Sustainability &amp; Risk Oversight Committee specifically oversees the company’s low-carbon transition initiatives, emission-reduction targets, and ESG disclosures.</w:t>
      </w:r>
    </w:p>
    <w:p w14:paraId="03709CF6" w14:textId="77777777" w:rsidR="00EA1E83" w:rsidRDefault="00EA1E83" w:rsidP="00A26D0E">
      <w:pPr>
        <w:rPr>
          <w:b/>
          <w:bCs/>
        </w:rPr>
      </w:pPr>
    </w:p>
    <w:p w14:paraId="1B7201E7" w14:textId="77777777" w:rsidR="00A400FA" w:rsidRPr="00A400FA" w:rsidRDefault="00A400FA" w:rsidP="00A400FA">
      <w:pPr>
        <w:rPr>
          <w:b/>
          <w:bCs/>
        </w:rPr>
      </w:pPr>
      <w:r w:rsidRPr="00A400FA">
        <w:rPr>
          <w:b/>
          <w:bCs/>
        </w:rPr>
        <w:t>Shareholder Engagement</w:t>
      </w:r>
    </w:p>
    <w:p w14:paraId="7FBFC6BE" w14:textId="77777777" w:rsidR="00A400FA" w:rsidRPr="00A400FA" w:rsidRDefault="00A400FA" w:rsidP="00A400FA">
      <w:r w:rsidRPr="00A400FA">
        <w:t>We engage regularly with institutional and retail shareholders, hearing feedback on governance, executive pay, sustainability, and capital allocation. Results of our most recent shareholder advisory votes indicate strong support for our executive compensation program (&gt;90% FOR) and our sustainability disclosures. The Board will consider the outcome of the say-on-pay vote when determining future compensation design.</w:t>
      </w:r>
    </w:p>
    <w:p w14:paraId="11840363" w14:textId="77777777" w:rsidR="00EA1E83" w:rsidRDefault="00EA1E83" w:rsidP="00A26D0E">
      <w:pPr>
        <w:rPr>
          <w:b/>
          <w:bCs/>
        </w:rPr>
      </w:pPr>
    </w:p>
    <w:p w14:paraId="45CE464A" w14:textId="77777777" w:rsidR="00EA1E83" w:rsidRDefault="00EA1E83" w:rsidP="00A26D0E">
      <w:pPr>
        <w:rPr>
          <w:b/>
          <w:bCs/>
        </w:rPr>
      </w:pPr>
    </w:p>
    <w:p w14:paraId="1EC19487" w14:textId="77777777" w:rsidR="00A400FA" w:rsidRDefault="00A400FA" w:rsidP="00A26D0E">
      <w:pPr>
        <w:rPr>
          <w:b/>
          <w:bCs/>
        </w:rPr>
      </w:pPr>
    </w:p>
    <w:p w14:paraId="5869CA6E" w14:textId="77777777" w:rsidR="00A400FA" w:rsidRDefault="00A400FA" w:rsidP="00A26D0E">
      <w:pPr>
        <w:rPr>
          <w:b/>
          <w:bCs/>
        </w:rPr>
      </w:pPr>
    </w:p>
    <w:p w14:paraId="0F1B11AD" w14:textId="77777777" w:rsidR="00A400FA" w:rsidRDefault="00A400FA" w:rsidP="00A26D0E">
      <w:pPr>
        <w:rPr>
          <w:b/>
          <w:bCs/>
        </w:rPr>
      </w:pPr>
    </w:p>
    <w:p w14:paraId="3C07AB4E" w14:textId="77777777" w:rsidR="00A400FA" w:rsidRDefault="00A400FA" w:rsidP="00A26D0E">
      <w:pPr>
        <w:rPr>
          <w:b/>
          <w:bCs/>
        </w:rPr>
      </w:pPr>
    </w:p>
    <w:p w14:paraId="784DAE8D" w14:textId="77777777" w:rsidR="00A400FA" w:rsidRDefault="00A400FA" w:rsidP="00A26D0E">
      <w:pPr>
        <w:rPr>
          <w:b/>
          <w:bCs/>
        </w:rPr>
      </w:pPr>
    </w:p>
    <w:p w14:paraId="25A95BB2" w14:textId="77777777" w:rsidR="00A400FA" w:rsidRDefault="00A400FA" w:rsidP="00A26D0E">
      <w:pPr>
        <w:rPr>
          <w:b/>
          <w:bCs/>
        </w:rPr>
      </w:pPr>
    </w:p>
    <w:p w14:paraId="264DC158" w14:textId="4892EB53" w:rsidR="00CB07C1" w:rsidRDefault="00A400FA" w:rsidP="00EA1E83">
      <w:pPr>
        <w:pStyle w:val="Heading2"/>
      </w:pPr>
      <w:r>
        <w:t>Executive Compensation</w:t>
      </w:r>
    </w:p>
    <w:p w14:paraId="482DD60F" w14:textId="0C43C0F7" w:rsidR="004617AE" w:rsidRDefault="00A400FA" w:rsidP="00CB07C1">
      <w:pPr>
        <w:pStyle w:val="ListBullet"/>
        <w:numPr>
          <w:ilvl w:val="0"/>
          <w:numId w:val="0"/>
        </w:numPr>
        <w:tabs>
          <w:tab w:val="num" w:pos="720"/>
        </w:tabs>
        <w:ind w:left="360" w:hanging="360"/>
        <w:rPr>
          <w:rStyle w:val="Emphasis"/>
        </w:rPr>
      </w:pPr>
      <w:r>
        <w:rPr>
          <w:rStyle w:val="Emphasis"/>
        </w:rPr>
        <w:t>Compensation Phi</w:t>
      </w:r>
      <w:r w:rsidR="00C82FDA">
        <w:rPr>
          <w:rStyle w:val="Emphasis"/>
        </w:rPr>
        <w:t>losophy &amp; Framework</w:t>
      </w:r>
    </w:p>
    <w:p w14:paraId="05B68806" w14:textId="77777777" w:rsidR="00C82FDA" w:rsidRPr="00C82FDA" w:rsidRDefault="00C82FDA" w:rsidP="00C82FDA">
      <w:pPr>
        <w:pStyle w:val="ListBullet"/>
        <w:numPr>
          <w:ilvl w:val="0"/>
          <w:numId w:val="0"/>
        </w:numPr>
        <w:ind w:left="360" w:hanging="360"/>
        <w:rPr>
          <w:bCs/>
        </w:rPr>
      </w:pPr>
      <w:r w:rsidRPr="00C82FDA">
        <w:rPr>
          <w:bCs/>
        </w:rPr>
        <w:t>IXULR’s compensation program is designed to:</w:t>
      </w:r>
    </w:p>
    <w:p w14:paraId="468D13A4" w14:textId="77777777" w:rsidR="00C82FDA" w:rsidRPr="00C82FDA" w:rsidRDefault="00C82FDA" w:rsidP="00C82FDA">
      <w:pPr>
        <w:pStyle w:val="ListBullet"/>
        <w:numPr>
          <w:ilvl w:val="0"/>
          <w:numId w:val="12"/>
        </w:numPr>
        <w:rPr>
          <w:bCs/>
        </w:rPr>
      </w:pPr>
      <w:r w:rsidRPr="00C82FDA">
        <w:rPr>
          <w:bCs/>
        </w:rPr>
        <w:t>Align executive pay with long-term shareholder value creation;</w:t>
      </w:r>
    </w:p>
    <w:p w14:paraId="2D374B0A" w14:textId="77777777" w:rsidR="00C82FDA" w:rsidRPr="00C82FDA" w:rsidRDefault="00C82FDA" w:rsidP="00C82FDA">
      <w:pPr>
        <w:pStyle w:val="ListBullet"/>
        <w:numPr>
          <w:ilvl w:val="0"/>
          <w:numId w:val="12"/>
        </w:numPr>
        <w:rPr>
          <w:bCs/>
        </w:rPr>
      </w:pPr>
      <w:r w:rsidRPr="00C82FDA">
        <w:rPr>
          <w:bCs/>
        </w:rPr>
        <w:t>Link a significant portion of pay to performance (both financial and sustainability/transition metrics);</w:t>
      </w:r>
    </w:p>
    <w:p w14:paraId="3D4684C4" w14:textId="77777777" w:rsidR="00C82FDA" w:rsidRPr="00C82FDA" w:rsidRDefault="00C82FDA" w:rsidP="00C82FDA">
      <w:pPr>
        <w:pStyle w:val="ListBullet"/>
        <w:numPr>
          <w:ilvl w:val="0"/>
          <w:numId w:val="12"/>
        </w:numPr>
        <w:rPr>
          <w:bCs/>
        </w:rPr>
      </w:pPr>
      <w:r w:rsidRPr="00C82FDA">
        <w:rPr>
          <w:bCs/>
        </w:rPr>
        <w:t>Promote retention and competitive compensation in the energy industry; and</w:t>
      </w:r>
    </w:p>
    <w:p w14:paraId="55602DA4" w14:textId="77777777" w:rsidR="00C82FDA" w:rsidRPr="00C82FDA" w:rsidRDefault="00C82FDA" w:rsidP="00C82FDA">
      <w:pPr>
        <w:pStyle w:val="ListBullet"/>
        <w:numPr>
          <w:ilvl w:val="0"/>
          <w:numId w:val="12"/>
        </w:numPr>
        <w:rPr>
          <w:bCs/>
        </w:rPr>
      </w:pPr>
      <w:r w:rsidRPr="00C82FDA">
        <w:rPr>
          <w:bCs/>
        </w:rPr>
        <w:t>Support IXULR’s transition to a low-carbon future while driving operational excellence.</w:t>
      </w:r>
    </w:p>
    <w:p w14:paraId="5DCF4B50" w14:textId="77777777" w:rsidR="00617E19" w:rsidRDefault="00617E19" w:rsidP="00500C4B">
      <w:pPr>
        <w:rPr>
          <w:b/>
          <w:bCs/>
        </w:rPr>
      </w:pPr>
    </w:p>
    <w:p w14:paraId="239E904E" w14:textId="6062A965" w:rsidR="00500C4B" w:rsidRPr="00500C4B" w:rsidRDefault="00617E19" w:rsidP="00500C4B">
      <w:pPr>
        <w:rPr>
          <w:b/>
          <w:bCs/>
        </w:rPr>
      </w:pPr>
      <w:r>
        <w:rPr>
          <w:b/>
          <w:bCs/>
        </w:rPr>
        <w:t>Named Executive Officers</w:t>
      </w:r>
    </w:p>
    <w:p w14:paraId="735DDBC1" w14:textId="77777777" w:rsidR="001D4DF8" w:rsidRPr="001D4DF8" w:rsidRDefault="001D4DF8" w:rsidP="001D4DF8">
      <w:r w:rsidRPr="001D4DF8">
        <w:t>This year’s NEOs include:</w:t>
      </w:r>
    </w:p>
    <w:p w14:paraId="72C46044" w14:textId="77777777" w:rsidR="001D4DF8" w:rsidRPr="001D4DF8" w:rsidRDefault="001D4DF8" w:rsidP="001D4DF8">
      <w:pPr>
        <w:numPr>
          <w:ilvl w:val="0"/>
          <w:numId w:val="13"/>
        </w:numPr>
      </w:pPr>
      <w:r w:rsidRPr="001D4DF8">
        <w:t>Martin Velazquez – Chairman &amp; Chief Executive Officer</w:t>
      </w:r>
    </w:p>
    <w:p w14:paraId="72ADF2EE" w14:textId="77777777" w:rsidR="001D4DF8" w:rsidRPr="001D4DF8" w:rsidRDefault="001D4DF8" w:rsidP="001D4DF8">
      <w:pPr>
        <w:numPr>
          <w:ilvl w:val="0"/>
          <w:numId w:val="13"/>
        </w:numPr>
      </w:pPr>
      <w:r w:rsidRPr="001D4DF8">
        <w:t>Mark Williams – Vice Chairman</w:t>
      </w:r>
    </w:p>
    <w:p w14:paraId="164D99C3" w14:textId="77777777" w:rsidR="001D4DF8" w:rsidRPr="001D4DF8" w:rsidRDefault="001D4DF8" w:rsidP="001D4DF8">
      <w:pPr>
        <w:numPr>
          <w:ilvl w:val="0"/>
          <w:numId w:val="13"/>
        </w:numPr>
      </w:pPr>
      <w:r w:rsidRPr="001D4DF8">
        <w:t>Lucia Perez – Vice President &amp; Chief Financial Officer</w:t>
      </w:r>
    </w:p>
    <w:p w14:paraId="3A1086B6" w14:textId="2D8E0EC1" w:rsidR="001D4DF8" w:rsidRPr="001D4DF8" w:rsidRDefault="001D4DF8" w:rsidP="001D4DF8">
      <w:pPr>
        <w:numPr>
          <w:ilvl w:val="0"/>
          <w:numId w:val="13"/>
        </w:numPr>
      </w:pPr>
      <w:r w:rsidRPr="001D4DF8">
        <w:t>R</w:t>
      </w:r>
      <w:r>
        <w:t>a</w:t>
      </w:r>
      <w:r w:rsidRPr="001D4DF8">
        <w:t>kesh Kumar – Vice President, Low Carbon Energies</w:t>
      </w:r>
    </w:p>
    <w:p w14:paraId="270CC8CA" w14:textId="77777777" w:rsidR="001D4DF8" w:rsidRPr="001D4DF8" w:rsidRDefault="001D4DF8" w:rsidP="001D4DF8">
      <w:pPr>
        <w:numPr>
          <w:ilvl w:val="0"/>
          <w:numId w:val="13"/>
        </w:numPr>
      </w:pPr>
      <w:r w:rsidRPr="001D4DF8">
        <w:t>Amanda Duong – Vice President &amp; Chief Human Resources Officer</w:t>
      </w:r>
    </w:p>
    <w:p w14:paraId="307FAA9A" w14:textId="77777777" w:rsidR="001D4DF8" w:rsidRPr="001D4DF8" w:rsidRDefault="001D4DF8" w:rsidP="001D4DF8">
      <w:pPr>
        <w:numPr>
          <w:ilvl w:val="0"/>
          <w:numId w:val="13"/>
        </w:numPr>
      </w:pPr>
      <w:r w:rsidRPr="001D4DF8">
        <w:t>Jack Redding – Vice President, Legal</w:t>
      </w:r>
    </w:p>
    <w:p w14:paraId="2CC098C8" w14:textId="77777777" w:rsidR="001D4DF8" w:rsidRPr="001D4DF8" w:rsidRDefault="001D4DF8" w:rsidP="001D4DF8">
      <w:pPr>
        <w:numPr>
          <w:ilvl w:val="0"/>
          <w:numId w:val="13"/>
        </w:numPr>
      </w:pPr>
      <w:r w:rsidRPr="001D4DF8">
        <w:t>Kirk Orwell – Vice President, Production &amp; Operations</w:t>
      </w:r>
    </w:p>
    <w:p w14:paraId="57EDC443" w14:textId="77777777" w:rsidR="001D4DF8" w:rsidRPr="001D4DF8" w:rsidRDefault="001D4DF8" w:rsidP="008926FB"/>
    <w:p w14:paraId="71BC4959" w14:textId="147C5C5F" w:rsidR="008926FB" w:rsidRPr="008926FB" w:rsidRDefault="007444FC" w:rsidP="008926FB">
      <w:pPr>
        <w:rPr>
          <w:b/>
          <w:bCs/>
        </w:rPr>
      </w:pPr>
      <w:r>
        <w:rPr>
          <w:b/>
          <w:bCs/>
        </w:rPr>
        <w:t>Performance Metrics &amp; Incentives</w:t>
      </w:r>
    </w:p>
    <w:p w14:paraId="1A356AF5" w14:textId="77777777" w:rsidR="007444FC" w:rsidRPr="007444FC" w:rsidRDefault="007444FC" w:rsidP="007444FC">
      <w:r w:rsidRPr="007444FC">
        <w:t>For fiscal year 2025, the key performance goals for incentive awards include:</w:t>
      </w:r>
    </w:p>
    <w:p w14:paraId="0E550583" w14:textId="77777777" w:rsidR="007444FC" w:rsidRPr="007444FC" w:rsidRDefault="007444FC" w:rsidP="007444FC">
      <w:pPr>
        <w:numPr>
          <w:ilvl w:val="0"/>
          <w:numId w:val="14"/>
        </w:numPr>
      </w:pPr>
      <w:r w:rsidRPr="007444FC">
        <w:t>Financial targets: revenue growth, net income margin, free cash flow.</w:t>
      </w:r>
    </w:p>
    <w:p w14:paraId="6EC12829" w14:textId="77777777" w:rsidR="007444FC" w:rsidRPr="007444FC" w:rsidRDefault="007444FC" w:rsidP="007444FC">
      <w:pPr>
        <w:numPr>
          <w:ilvl w:val="0"/>
          <w:numId w:val="14"/>
        </w:numPr>
      </w:pPr>
      <w:r w:rsidRPr="007444FC">
        <w:t>Operational targets: production efficiency, safety incident rate, digital-optimization improvement.</w:t>
      </w:r>
    </w:p>
    <w:p w14:paraId="032EA83B" w14:textId="77777777" w:rsidR="007444FC" w:rsidRPr="007444FC" w:rsidRDefault="007444FC" w:rsidP="007444FC">
      <w:pPr>
        <w:numPr>
          <w:ilvl w:val="0"/>
          <w:numId w:val="14"/>
        </w:numPr>
      </w:pPr>
      <w:r w:rsidRPr="007444FC">
        <w:t>Sustainability/transition targets: GHG emission intensity reduction, low-carbon investment percentage, hydrogen/bio-fuels project ramp-up.</w:t>
      </w:r>
    </w:p>
    <w:p w14:paraId="2FF89250" w14:textId="77777777" w:rsidR="007444FC" w:rsidRPr="007444FC" w:rsidRDefault="007444FC" w:rsidP="007444FC">
      <w:pPr>
        <w:numPr>
          <w:ilvl w:val="0"/>
          <w:numId w:val="14"/>
        </w:numPr>
      </w:pPr>
      <w:r w:rsidRPr="007444FC">
        <w:t>Risk &amp; governance metrics: compliance, cyber risk mitigation, ESG disclosure enhancements.</w:t>
      </w:r>
    </w:p>
    <w:p w14:paraId="022D7DD8" w14:textId="77777777" w:rsidR="00CA5C08" w:rsidRDefault="00CA5C08" w:rsidP="007444FC"/>
    <w:p w14:paraId="506FF668" w14:textId="77777777" w:rsidR="007444FC" w:rsidRPr="007444FC" w:rsidRDefault="007444FC" w:rsidP="007444FC"/>
    <w:p w14:paraId="3253FB7E" w14:textId="238CF450" w:rsidR="00CA5C08" w:rsidRPr="00BD2465" w:rsidRDefault="007444FC" w:rsidP="00BD2465">
      <w:pPr>
        <w:rPr>
          <w:b/>
          <w:bCs/>
        </w:rPr>
      </w:pPr>
      <w:r w:rsidRPr="00BD2465">
        <w:rPr>
          <w:b/>
          <w:bCs/>
        </w:rPr>
        <w:t>Equity Incentive Plan</w:t>
      </w:r>
    </w:p>
    <w:p w14:paraId="48B263EC" w14:textId="56BDF9F2" w:rsidR="00CA5C08" w:rsidRDefault="00254670" w:rsidP="00CA5C08">
      <w:r w:rsidRPr="00254670">
        <w:t>Under the IXULR 2025 Equity Incentive Plan (subject to shareholder approval), long-term equity awards (performance shares and restricted stock) will be granted to executives, tied to multi-year performance against transition metrics and shareholder return over a 3-5 year cycle.</w:t>
      </w:r>
    </w:p>
    <w:p w14:paraId="44EB338C" w14:textId="77777777" w:rsidR="00254670" w:rsidRPr="00BD2465" w:rsidRDefault="00254670" w:rsidP="00BD2465">
      <w:pPr>
        <w:rPr>
          <w:b/>
          <w:bCs/>
        </w:rPr>
      </w:pPr>
    </w:p>
    <w:p w14:paraId="775B9270" w14:textId="77777777" w:rsidR="00762FEE" w:rsidRPr="00BD2465" w:rsidRDefault="00762FEE" w:rsidP="00BD2465">
      <w:pPr>
        <w:rPr>
          <w:b/>
          <w:bCs/>
        </w:rPr>
      </w:pPr>
      <w:r w:rsidRPr="00BD2465">
        <w:rPr>
          <w:b/>
          <w:bCs/>
        </w:rPr>
        <w:t>Clawback, Hedging and Share-Ownership Policies</w:t>
      </w:r>
    </w:p>
    <w:p w14:paraId="0F0DC4A8" w14:textId="77777777" w:rsidR="00762FEE" w:rsidRPr="00762FEE" w:rsidRDefault="00762FEE" w:rsidP="00762FEE">
      <w:pPr>
        <w:numPr>
          <w:ilvl w:val="0"/>
          <w:numId w:val="15"/>
        </w:numPr>
      </w:pPr>
      <w:r w:rsidRPr="00762FEE">
        <w:t>All incentive compensation is subject to a clawback policy in the event of restatement or misconduct.</w:t>
      </w:r>
    </w:p>
    <w:p w14:paraId="1E3E1F26" w14:textId="77777777" w:rsidR="00762FEE" w:rsidRPr="00762FEE" w:rsidRDefault="00762FEE" w:rsidP="00762FEE">
      <w:pPr>
        <w:numPr>
          <w:ilvl w:val="0"/>
          <w:numId w:val="15"/>
        </w:numPr>
      </w:pPr>
      <w:r w:rsidRPr="00762FEE">
        <w:t>Executives and directors are prohibited from hedging IXULR securities or holding them in margin accounts.</w:t>
      </w:r>
    </w:p>
    <w:p w14:paraId="503DBE89" w14:textId="77777777" w:rsidR="00762FEE" w:rsidRPr="00762FEE" w:rsidRDefault="00762FEE" w:rsidP="00762FEE">
      <w:pPr>
        <w:numPr>
          <w:ilvl w:val="0"/>
          <w:numId w:val="15"/>
        </w:numPr>
      </w:pPr>
      <w:r w:rsidRPr="00762FEE">
        <w:t>Executives and directors must meet share-ownership guidelines (e.g., CEO: five times base salary; Other NEOs: two times base salary).</w:t>
      </w:r>
    </w:p>
    <w:p w14:paraId="3D4285F9" w14:textId="77777777" w:rsidR="00762FEE" w:rsidRPr="00CA5C08" w:rsidRDefault="00762FEE" w:rsidP="00CA5C08"/>
    <w:p w14:paraId="7BEF142B" w14:textId="701A9CC3" w:rsidR="007225D0" w:rsidRDefault="00BD2465" w:rsidP="007225D0">
      <w:pPr>
        <w:pStyle w:val="Heading2"/>
      </w:pPr>
      <w:r>
        <w:t>Governance &amp; Shareholder Proposals</w:t>
      </w:r>
    </w:p>
    <w:p w14:paraId="60D981FF" w14:textId="77777777" w:rsidR="007225D0" w:rsidRPr="007225D0" w:rsidRDefault="007225D0" w:rsidP="007225D0">
      <w:pPr>
        <w:rPr>
          <w:b/>
          <w:bCs/>
        </w:rPr>
      </w:pPr>
      <w:r w:rsidRPr="007225D0">
        <w:rPr>
          <w:b/>
          <w:bCs/>
        </w:rPr>
        <w:t>Director Independence &amp; Qualifications</w:t>
      </w:r>
    </w:p>
    <w:p w14:paraId="135CF1F9" w14:textId="77777777" w:rsidR="007225D0" w:rsidRPr="007225D0" w:rsidRDefault="007225D0" w:rsidP="007225D0">
      <w:r w:rsidRPr="007225D0">
        <w:t>All independent directors satisfy the independence requirements of the NYSE and SEC rules. The Board undertakes a skills-matrix assessment each year to ensure the right mix of expertise (energy transition, digital, finance, international operations, ESG).</w:t>
      </w:r>
    </w:p>
    <w:p w14:paraId="6FBBAB3B" w14:textId="77777777" w:rsidR="007225D0" w:rsidRPr="007225D0" w:rsidRDefault="007225D0" w:rsidP="007225D0">
      <w:pPr>
        <w:rPr>
          <w:b/>
          <w:bCs/>
        </w:rPr>
      </w:pPr>
      <w:r w:rsidRPr="007225D0">
        <w:rPr>
          <w:b/>
          <w:bCs/>
        </w:rPr>
        <w:t>Board Diversity and Refreshment</w:t>
      </w:r>
    </w:p>
    <w:p w14:paraId="0DA4E51B" w14:textId="77777777" w:rsidR="007225D0" w:rsidRPr="007225D0" w:rsidRDefault="007225D0" w:rsidP="007225D0">
      <w:r w:rsidRPr="007225D0">
        <w:t>At least two new independent directors have been added since 2022, enhancing racial/ethnic and gender diversity. The Board utilizes a combination of search-firm assistance, internal nominations and shareholder input.</w:t>
      </w:r>
    </w:p>
    <w:p w14:paraId="09F5FB3A" w14:textId="77777777" w:rsidR="007225D0" w:rsidRPr="007225D0" w:rsidRDefault="007225D0" w:rsidP="007225D0">
      <w:pPr>
        <w:rPr>
          <w:b/>
          <w:bCs/>
        </w:rPr>
      </w:pPr>
      <w:r w:rsidRPr="007225D0">
        <w:rPr>
          <w:b/>
          <w:bCs/>
        </w:rPr>
        <w:t>Shareholder Proposals</w:t>
      </w:r>
    </w:p>
    <w:p w14:paraId="3CB39F4F" w14:textId="15A41EBE" w:rsidR="007225D0" w:rsidRPr="007225D0" w:rsidRDefault="007225D0" w:rsidP="007225D0">
      <w:r w:rsidRPr="007225D0">
        <w:t xml:space="preserve">Any shareholder proposals intended for inclusion in IXULR’s 2026 proxy must be submitted no later than </w:t>
      </w:r>
      <w:r w:rsidR="00323A0E">
        <w:t>November 22, 2025</w:t>
      </w:r>
      <w:r w:rsidRPr="007225D0">
        <w:t xml:space="preserve"> and will be subject to review under Rule 14a-8 of the Securities Exchange Act.</w:t>
      </w:r>
    </w:p>
    <w:p w14:paraId="51F37F3A" w14:textId="77777777" w:rsidR="007225D0" w:rsidRPr="007225D0" w:rsidRDefault="007225D0" w:rsidP="007225D0">
      <w:pPr>
        <w:rPr>
          <w:b/>
          <w:bCs/>
        </w:rPr>
      </w:pPr>
      <w:r w:rsidRPr="007225D0">
        <w:rPr>
          <w:b/>
          <w:bCs/>
        </w:rPr>
        <w:t>Related-Party Transactions</w:t>
      </w:r>
    </w:p>
    <w:p w14:paraId="0564B2A2" w14:textId="77777777" w:rsidR="007225D0" w:rsidRDefault="007225D0" w:rsidP="007225D0">
      <w:r w:rsidRPr="007225D0">
        <w:t>The Nominating &amp; Governance Committee reviews and approves any material related-party transactions involving directors, executives or significant shareholders.</w:t>
      </w:r>
    </w:p>
    <w:p w14:paraId="1EC41401" w14:textId="77777777" w:rsidR="00323A0E" w:rsidRDefault="00323A0E" w:rsidP="007225D0"/>
    <w:p w14:paraId="2EA5C8B1" w14:textId="77777777" w:rsidR="00323A0E" w:rsidRDefault="00323A0E" w:rsidP="007225D0"/>
    <w:p w14:paraId="0B33389E" w14:textId="77777777" w:rsidR="00323A0E" w:rsidRPr="007225D0" w:rsidRDefault="00323A0E" w:rsidP="007225D0"/>
    <w:p w14:paraId="0325AD2C" w14:textId="77777777" w:rsidR="007225D0" w:rsidRPr="007225D0" w:rsidRDefault="007225D0" w:rsidP="007225D0">
      <w:pPr>
        <w:rPr>
          <w:b/>
          <w:bCs/>
        </w:rPr>
      </w:pPr>
      <w:r w:rsidRPr="007225D0">
        <w:rPr>
          <w:b/>
          <w:bCs/>
        </w:rPr>
        <w:t>Executive Sessions &amp; Board Leadership</w:t>
      </w:r>
    </w:p>
    <w:p w14:paraId="57712CED" w14:textId="77777777" w:rsidR="007225D0" w:rsidRPr="007225D0" w:rsidRDefault="007225D0" w:rsidP="007225D0">
      <w:r w:rsidRPr="007225D0">
        <w:t>Independent directors meet in executive session at each regularly scheduled Board meeting. The Lead Independent Director chairs these sessions and serves as a liaison between management and independent directors.</w:t>
      </w:r>
    </w:p>
    <w:p w14:paraId="10BC6E8F" w14:textId="77777777" w:rsidR="007225D0" w:rsidRDefault="007225D0"/>
    <w:p w14:paraId="2B2395DE" w14:textId="77777777" w:rsidR="005A3777" w:rsidRPr="005A3777" w:rsidRDefault="005A3777" w:rsidP="005A3777">
      <w:pPr>
        <w:pStyle w:val="Heading2"/>
      </w:pPr>
      <w:r w:rsidRPr="005A3777">
        <w:t>Additional Information &amp; Annual Meeting Details</w:t>
      </w:r>
    </w:p>
    <w:p w14:paraId="0F39311B" w14:textId="77777777" w:rsidR="005A3777" w:rsidRPr="005A3777" w:rsidRDefault="005A3777" w:rsidP="005A3777">
      <w:pPr>
        <w:rPr>
          <w:b/>
          <w:bCs/>
        </w:rPr>
      </w:pPr>
      <w:r w:rsidRPr="005A3777">
        <w:rPr>
          <w:b/>
          <w:bCs/>
        </w:rPr>
        <w:t>Annual Meeting Virtual Format</w:t>
      </w:r>
    </w:p>
    <w:p w14:paraId="201D88EA" w14:textId="00868A92" w:rsidR="005A3777" w:rsidRPr="005A3777" w:rsidRDefault="005A3777" w:rsidP="005A3777">
      <w:r w:rsidRPr="005A3777">
        <w:t xml:space="preserve">The Annual Meeting will be held virtually to enhance accessibility and participation. Please log in at </w:t>
      </w:r>
      <w:r>
        <w:t>10 am</w:t>
      </w:r>
      <w:r w:rsidRPr="005A3777">
        <w:t>. A 16-digit control number will be required for each attendee.</w:t>
      </w:r>
    </w:p>
    <w:p w14:paraId="281A4403" w14:textId="77777777" w:rsidR="005A3777" w:rsidRPr="005A3777" w:rsidRDefault="005A3777" w:rsidP="005A3777">
      <w:pPr>
        <w:rPr>
          <w:b/>
          <w:bCs/>
        </w:rPr>
      </w:pPr>
      <w:r w:rsidRPr="005A3777">
        <w:rPr>
          <w:b/>
          <w:bCs/>
        </w:rPr>
        <w:t>How to Vote</w:t>
      </w:r>
    </w:p>
    <w:p w14:paraId="12AFFA1D" w14:textId="77777777" w:rsidR="005A3777" w:rsidRPr="005A3777" w:rsidRDefault="005A3777" w:rsidP="005A3777">
      <w:r w:rsidRPr="005A3777">
        <w:t>Shareholders can vote via the Internet, telephone or by returning a paper proxy card. Detailed instructions appear on the proxy card or the voting instruction form mailed to you.</w:t>
      </w:r>
    </w:p>
    <w:p w14:paraId="041AE7E8" w14:textId="77777777" w:rsidR="005A3777" w:rsidRPr="005A3777" w:rsidRDefault="005A3777" w:rsidP="005A3777">
      <w:pPr>
        <w:rPr>
          <w:b/>
          <w:bCs/>
        </w:rPr>
      </w:pPr>
      <w:r w:rsidRPr="005A3777">
        <w:rPr>
          <w:b/>
          <w:bCs/>
        </w:rPr>
        <w:t>Availability of Proxy Materials</w:t>
      </w:r>
    </w:p>
    <w:p w14:paraId="173F59B2" w14:textId="0A503396" w:rsidR="005A3777" w:rsidRPr="005A3777" w:rsidRDefault="005A3777" w:rsidP="005A3777">
      <w:r w:rsidRPr="005A3777">
        <w:t xml:space="preserve">The full set of proxy materials, including the IXULR 2024 Annual Report, the proxy card and this proxy statement, are available at </w:t>
      </w:r>
      <w:r>
        <w:t>www.ixulr.com</w:t>
      </w:r>
      <w:r w:rsidRPr="005A3777">
        <w:t xml:space="preserve"> using the control number printed on your notice.</w:t>
      </w:r>
    </w:p>
    <w:p w14:paraId="7460ADCB" w14:textId="77777777" w:rsidR="005A3777" w:rsidRPr="005A3777" w:rsidRDefault="005A3777" w:rsidP="005A3777">
      <w:pPr>
        <w:rPr>
          <w:b/>
          <w:bCs/>
        </w:rPr>
      </w:pPr>
      <w:r w:rsidRPr="005A3777">
        <w:rPr>
          <w:b/>
          <w:bCs/>
        </w:rPr>
        <w:t>Important Notice Regarding the Availability of Proxy Materials</w:t>
      </w:r>
    </w:p>
    <w:p w14:paraId="3BF8446D" w14:textId="77777777" w:rsidR="005A3777" w:rsidRPr="005A3777" w:rsidRDefault="005A3777" w:rsidP="005A3777">
      <w:r w:rsidRPr="005A3777">
        <w:t>This correspondence serves as notice of the availability of proxy materials for the 2025 Annual Meeting and presents a summary of key items. We encourage you to read the full materials before voting.</w:t>
      </w:r>
    </w:p>
    <w:p w14:paraId="3E65D0DB" w14:textId="77777777" w:rsidR="005A3777" w:rsidRPr="005A3777" w:rsidRDefault="005A3777" w:rsidP="005A3777">
      <w:pPr>
        <w:rPr>
          <w:b/>
          <w:bCs/>
        </w:rPr>
      </w:pPr>
      <w:r w:rsidRPr="005A3777">
        <w:rPr>
          <w:b/>
          <w:bCs/>
        </w:rPr>
        <w:t>Householding</w:t>
      </w:r>
    </w:p>
    <w:p w14:paraId="2E5D8606" w14:textId="6E9DB729" w:rsidR="007525F2" w:rsidRDefault="005A3777" w:rsidP="007525F2">
      <w:r w:rsidRPr="005A3777">
        <w:t>Some shareholders may receive only one copy of the proxy materials if they share an address with other shareholders (“house-holding”). You may request separate copies or opt out of householding by contacting</w:t>
      </w:r>
      <w:r w:rsidR="007525F2">
        <w:t xml:space="preserve"> </w:t>
      </w:r>
      <w:r w:rsidR="007525F2" w:rsidRPr="001D4DF8">
        <w:t>Lucia Perez – Vice President &amp; Chief Financial Officer</w:t>
      </w:r>
      <w:r w:rsidR="007525F2">
        <w:t>.</w:t>
      </w:r>
    </w:p>
    <w:p w14:paraId="6009FFFB" w14:textId="4E4BEC6B" w:rsidR="00AF3647" w:rsidRDefault="00986E34" w:rsidP="007525F2">
      <w:r>
        <w:br/>
      </w:r>
    </w:p>
    <w:p w14:paraId="630A316E" w14:textId="2414D569" w:rsidR="005A3777" w:rsidRPr="005A3777" w:rsidRDefault="00AF3647" w:rsidP="005A3777">
      <w:r w:rsidRPr="00AF3647">
        <w:rPr>
          <w:b/>
          <w:bCs/>
        </w:rPr>
        <w:t>By Order of the Board of Directors</w:t>
      </w:r>
      <w:r w:rsidRPr="00AF3647">
        <w:br/>
      </w:r>
      <w:r w:rsidR="00046F5D">
        <w:t>Martin Velazquez</w:t>
      </w:r>
      <w:r w:rsidRPr="00AF3647">
        <w:br/>
      </w:r>
      <w:r w:rsidR="00986E34">
        <w:t>January</w:t>
      </w:r>
      <w:r>
        <w:t xml:space="preserve"> 21, 2</w:t>
      </w:r>
      <w:r w:rsidR="005A3513">
        <w:t>025</w:t>
      </w:r>
    </w:p>
    <w:p w14:paraId="43EBDBC0" w14:textId="77777777" w:rsidR="00323A0E" w:rsidRDefault="00323A0E"/>
    <w:sectPr w:rsidR="00323A0E" w:rsidSect="00A73656">
      <w:pgSz w:w="12240" w:h="15840" w:code="1"/>
      <w:pgMar w:top="1440" w:right="1152" w:bottom="720" w:left="1152"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CDB7C" w14:textId="77777777" w:rsidR="00174F48" w:rsidRDefault="00174F48" w:rsidP="00E14577">
      <w:pPr>
        <w:spacing w:before="0" w:line="240" w:lineRule="auto"/>
      </w:pPr>
      <w:r>
        <w:separator/>
      </w:r>
    </w:p>
  </w:endnote>
  <w:endnote w:type="continuationSeparator" w:id="0">
    <w:p w14:paraId="52BB820A" w14:textId="77777777" w:rsidR="00174F48" w:rsidRDefault="00174F48" w:rsidP="00E145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7D912" w14:textId="77777777" w:rsidR="008A6801" w:rsidRDefault="008A6801" w:rsidP="00D30526">
    <w:pPr>
      <w:pStyle w:val="Footer"/>
      <w:ind w:firstLine="360"/>
      <w:jc w:val="center"/>
    </w:pPr>
    <w:r>
      <w:rPr>
        <w:noProof/>
        <w14:ligatures w14:val="standardContextual"/>
      </w:rPr>
      <mc:AlternateContent>
        <mc:Choice Requires="wps">
          <w:drawing>
            <wp:anchor distT="0" distB="0" distL="114300" distR="114300" simplePos="0" relativeHeight="251661312" behindDoc="1" locked="1" layoutInCell="1" allowOverlap="1" wp14:anchorId="1ECE44A0" wp14:editId="723DFF9D">
              <wp:simplePos x="0" y="0"/>
              <wp:positionH relativeFrom="page">
                <wp:align>right</wp:align>
              </wp:positionH>
              <wp:positionV relativeFrom="page">
                <wp:posOffset>9543415</wp:posOffset>
              </wp:positionV>
              <wp:extent cx="7772400" cy="516255"/>
              <wp:effectExtent l="0" t="0" r="0" b="0"/>
              <wp:wrapNone/>
              <wp:docPr id="166051719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16255"/>
                      </a:xfrm>
                      <a:prstGeom prst="rect">
                        <a:avLst/>
                      </a:prstGeom>
                      <a:solidFill>
                        <a:srgbClr val="F7850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353E3F47" id="Rectangle 1" o:spid="_x0000_s1026" alt="&quot;&quot;" style="position:absolute;margin-left:560.8pt;margin-top:751.45pt;width:612pt;height:40.65pt;z-index:-251655168;visibility:visible;mso-wrap-style:square;mso-width-percent:1000;mso-height-percent:0;mso-wrap-distance-left:9pt;mso-wrap-distance-top:0;mso-wrap-distance-right:9pt;mso-wrap-distance-bottom:0;mso-position-horizontal:right;mso-position-horizontal-relative:page;mso-position-vertical:absolute;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" fillcolor="#f78507" stroked="f" strokeweight="1pt">
              <w10:wrap anchorx="page" anchory="page"/>
              <w10:anchorlock/>
            </v:rect>
          </w:pict>
        </mc:Fallback>
      </mc:AlternateContent>
    </w:r>
  </w:p>
  <w:p w14:paraId="7C3F4833" w14:textId="77777777" w:rsidR="00E14577" w:rsidRPr="00E14577" w:rsidRDefault="003C44A7" w:rsidP="00D30526">
    <w:pPr>
      <w:pStyle w:val="Footer"/>
      <w:ind w:firstLine="360"/>
      <w:jc w:val="center"/>
      <w:rPr>
        <w:sz w:val="24"/>
      </w:rPr>
    </w:pPr>
    <w:r>
      <w:t>w</w:t>
    </w:r>
    <w:r w:rsidR="00E14577" w:rsidRPr="009C2F74">
      <w:t>ww.vanarsdelltd.co</w:t>
    </w:r>
    <w:r w:rsidR="00E14577">
      <w:t>m</w:t>
    </w:r>
  </w:p>
  <w:p w14:paraId="22C1C35E" w14:textId="77777777" w:rsidR="00E14577" w:rsidRDefault="00E145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9337D" w14:textId="77777777" w:rsidR="00174F48" w:rsidRDefault="00174F48" w:rsidP="00E14577">
      <w:pPr>
        <w:spacing w:before="0" w:line="240" w:lineRule="auto"/>
      </w:pPr>
      <w:r>
        <w:separator/>
      </w:r>
    </w:p>
  </w:footnote>
  <w:footnote w:type="continuationSeparator" w:id="0">
    <w:p w14:paraId="3C32F33E" w14:textId="77777777" w:rsidR="00174F48" w:rsidRDefault="00174F48" w:rsidP="00E145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6455145"/>
      <w:docPartObj>
        <w:docPartGallery w:val="Page Numbers (Top of Page)"/>
        <w:docPartUnique/>
      </w:docPartObj>
    </w:sdtPr>
    <w:sdtContent>
      <w:p w14:paraId="18954B40" w14:textId="77777777" w:rsidR="00E14577" w:rsidRDefault="00E14577" w:rsidP="00A62354">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2749F75" w14:textId="77777777" w:rsidR="00E14577" w:rsidRDefault="00E14577" w:rsidP="00E14577">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1513015"/>
      <w:docPartObj>
        <w:docPartGallery w:val="Page Numbers (Top of Page)"/>
        <w:docPartUnique/>
      </w:docPartObj>
    </w:sdtPr>
    <w:sdtContent>
      <w:p w14:paraId="4C8CF634" w14:textId="77777777" w:rsidR="00E14577" w:rsidRDefault="00E14577" w:rsidP="00E14577">
        <w:pPr>
          <w:pStyle w:val="Footer"/>
          <w:rPr>
            <w:rStyle w:val="PageNumber"/>
          </w:rPr>
        </w:pPr>
        <w:r>
          <w:rPr>
            <w:noProof/>
            <w14:ligatures w14:val="standardContextual"/>
          </w:rPr>
          <mc:AlternateContent>
            <mc:Choice Requires="wps">
              <w:drawing>
                <wp:anchor distT="0" distB="0" distL="114300" distR="114300" simplePos="0" relativeHeight="251659264" behindDoc="1" locked="1" layoutInCell="1" allowOverlap="1" wp14:anchorId="7E7D903A" wp14:editId="183C471E">
                  <wp:simplePos x="0" y="0"/>
                  <wp:positionH relativeFrom="column">
                    <wp:posOffset>-914400</wp:posOffset>
                  </wp:positionH>
                  <wp:positionV relativeFrom="paragraph">
                    <wp:posOffset>-265430</wp:posOffset>
                  </wp:positionV>
                  <wp:extent cx="1700784" cy="640080"/>
                  <wp:effectExtent l="0" t="0" r="0" b="7620"/>
                  <wp:wrapNone/>
                  <wp:docPr id="113014601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0784" cy="640080"/>
                          </a:xfrm>
                          <a:prstGeom prst="rect">
                            <a:avLst/>
                          </a:prstGeom>
                          <a:solidFill>
                            <a:srgbClr val="F7850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8CD8D" id="Rectangle 1" o:spid="_x0000_s1026" alt="&quot;&quot;" style="position:absolute;margin-left:-1in;margin-top:-20.9pt;width:133.9pt;height:5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" fillcolor="#f78507" stroked="f" strokeweight="1pt">
                  <w10:anchorlock/>
                </v:rect>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CE1709" w14:textId="77777777" w:rsidR="00E14577" w:rsidRDefault="00E14577" w:rsidP="00E14577">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5DE6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C6BC0"/>
    <w:multiLevelType w:val="hybridMultilevel"/>
    <w:tmpl w:val="CB2271E6"/>
    <w:lvl w:ilvl="0" w:tplc="08F0544E">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F2FFA"/>
    <w:multiLevelType w:val="multilevel"/>
    <w:tmpl w:val="9CF2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E40E3"/>
    <w:multiLevelType w:val="multilevel"/>
    <w:tmpl w:val="1976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84771A"/>
    <w:multiLevelType w:val="multilevel"/>
    <w:tmpl w:val="D764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354AE8"/>
    <w:multiLevelType w:val="hybridMultilevel"/>
    <w:tmpl w:val="6BE22186"/>
    <w:lvl w:ilvl="0" w:tplc="E5F458C2">
      <w:start w:val="1"/>
      <w:numFmt w:val="decimal"/>
      <w:lvlText w:val="%1)"/>
      <w:lvlJc w:val="left"/>
      <w:pPr>
        <w:ind w:left="720" w:hanging="360"/>
      </w:pPr>
      <w:rPr>
        <w:rFonts w:asciiTheme="minorHAnsi" w:hAnsi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D46CA1"/>
    <w:multiLevelType w:val="hybridMultilevel"/>
    <w:tmpl w:val="C2BE9DB0"/>
    <w:lvl w:ilvl="0" w:tplc="B6C67A1A">
      <w:start w:val="2024"/>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B03A3A"/>
    <w:multiLevelType w:val="multilevel"/>
    <w:tmpl w:val="E8CC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EB56C5"/>
    <w:multiLevelType w:val="hybridMultilevel"/>
    <w:tmpl w:val="F12CA8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F40F87"/>
    <w:multiLevelType w:val="multilevel"/>
    <w:tmpl w:val="BC96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9829E6"/>
    <w:multiLevelType w:val="hybridMultilevel"/>
    <w:tmpl w:val="4AECB152"/>
    <w:lvl w:ilvl="0" w:tplc="B6C67A1A">
      <w:start w:val="2024"/>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FC59DC"/>
    <w:multiLevelType w:val="multilevel"/>
    <w:tmpl w:val="9BD0204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497E84"/>
    <w:multiLevelType w:val="hybridMultilevel"/>
    <w:tmpl w:val="2FCC1ACA"/>
    <w:lvl w:ilvl="0" w:tplc="04090011">
      <w:start w:val="1"/>
      <w:numFmt w:val="decimal"/>
      <w:lvlText w:val="%1)"/>
      <w:lvlJc w:val="left"/>
      <w:pPr>
        <w:ind w:left="960" w:hanging="6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8043714"/>
    <w:multiLevelType w:val="multilevel"/>
    <w:tmpl w:val="566E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7143D8"/>
    <w:multiLevelType w:val="multilevel"/>
    <w:tmpl w:val="086E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405310">
    <w:abstractNumId w:val="11"/>
  </w:num>
  <w:num w:numId="2" w16cid:durableId="1276593716">
    <w:abstractNumId w:val="0"/>
  </w:num>
  <w:num w:numId="3" w16cid:durableId="666060343">
    <w:abstractNumId w:val="8"/>
  </w:num>
  <w:num w:numId="4" w16cid:durableId="611787337">
    <w:abstractNumId w:val="5"/>
  </w:num>
  <w:num w:numId="5" w16cid:durableId="1390376759">
    <w:abstractNumId w:val="6"/>
  </w:num>
  <w:num w:numId="6" w16cid:durableId="1438678995">
    <w:abstractNumId w:val="2"/>
  </w:num>
  <w:num w:numId="7" w16cid:durableId="698703192">
    <w:abstractNumId w:val="14"/>
  </w:num>
  <w:num w:numId="8" w16cid:durableId="2060277981">
    <w:abstractNumId w:val="10"/>
  </w:num>
  <w:num w:numId="9" w16cid:durableId="1273317403">
    <w:abstractNumId w:val="1"/>
  </w:num>
  <w:num w:numId="10" w16cid:durableId="1738238049">
    <w:abstractNumId w:val="12"/>
  </w:num>
  <w:num w:numId="11" w16cid:durableId="53237459">
    <w:abstractNumId w:val="13"/>
  </w:num>
  <w:num w:numId="12" w16cid:durableId="1982691407">
    <w:abstractNumId w:val="9"/>
  </w:num>
  <w:num w:numId="13" w16cid:durableId="1592354987">
    <w:abstractNumId w:val="7"/>
  </w:num>
  <w:num w:numId="14" w16cid:durableId="713651268">
    <w:abstractNumId w:val="4"/>
  </w:num>
  <w:num w:numId="15" w16cid:durableId="10413683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C85"/>
    <w:rsid w:val="00046F5D"/>
    <w:rsid w:val="000B7D7E"/>
    <w:rsid w:val="00105A89"/>
    <w:rsid w:val="00113F44"/>
    <w:rsid w:val="00164166"/>
    <w:rsid w:val="00174C85"/>
    <w:rsid w:val="00174F48"/>
    <w:rsid w:val="00187C41"/>
    <w:rsid w:val="00192AC7"/>
    <w:rsid w:val="001D4DF8"/>
    <w:rsid w:val="0025158E"/>
    <w:rsid w:val="00254670"/>
    <w:rsid w:val="002671DB"/>
    <w:rsid w:val="002A1D15"/>
    <w:rsid w:val="002B160D"/>
    <w:rsid w:val="002D31C0"/>
    <w:rsid w:val="002F58CD"/>
    <w:rsid w:val="002F7760"/>
    <w:rsid w:val="00323A0E"/>
    <w:rsid w:val="00380DD3"/>
    <w:rsid w:val="003B2B64"/>
    <w:rsid w:val="003C44A7"/>
    <w:rsid w:val="003C46B2"/>
    <w:rsid w:val="004148F5"/>
    <w:rsid w:val="0041749D"/>
    <w:rsid w:val="00421A37"/>
    <w:rsid w:val="0042337F"/>
    <w:rsid w:val="004617AE"/>
    <w:rsid w:val="00465004"/>
    <w:rsid w:val="00465A78"/>
    <w:rsid w:val="004C6124"/>
    <w:rsid w:val="00500C4B"/>
    <w:rsid w:val="00502C00"/>
    <w:rsid w:val="00504609"/>
    <w:rsid w:val="0052119A"/>
    <w:rsid w:val="00523A54"/>
    <w:rsid w:val="00542955"/>
    <w:rsid w:val="005A3513"/>
    <w:rsid w:val="005A3777"/>
    <w:rsid w:val="00617E19"/>
    <w:rsid w:val="006256E2"/>
    <w:rsid w:val="006843C8"/>
    <w:rsid w:val="0069174B"/>
    <w:rsid w:val="006B1ECB"/>
    <w:rsid w:val="00715DD8"/>
    <w:rsid w:val="007225D0"/>
    <w:rsid w:val="007444FC"/>
    <w:rsid w:val="007525F2"/>
    <w:rsid w:val="00762FEE"/>
    <w:rsid w:val="0077342D"/>
    <w:rsid w:val="00797982"/>
    <w:rsid w:val="007B7736"/>
    <w:rsid w:val="007E33B4"/>
    <w:rsid w:val="007E4360"/>
    <w:rsid w:val="007F2A50"/>
    <w:rsid w:val="008377C0"/>
    <w:rsid w:val="008628A3"/>
    <w:rsid w:val="008926FB"/>
    <w:rsid w:val="008927C0"/>
    <w:rsid w:val="008A0AE6"/>
    <w:rsid w:val="008A5444"/>
    <w:rsid w:val="008A6801"/>
    <w:rsid w:val="008B40B1"/>
    <w:rsid w:val="008D3879"/>
    <w:rsid w:val="008E5020"/>
    <w:rsid w:val="009224EA"/>
    <w:rsid w:val="00931508"/>
    <w:rsid w:val="00970278"/>
    <w:rsid w:val="00983B2E"/>
    <w:rsid w:val="00986E34"/>
    <w:rsid w:val="009B07AD"/>
    <w:rsid w:val="009C36B2"/>
    <w:rsid w:val="009D6230"/>
    <w:rsid w:val="00A26D0E"/>
    <w:rsid w:val="00A33B91"/>
    <w:rsid w:val="00A400FA"/>
    <w:rsid w:val="00A73656"/>
    <w:rsid w:val="00AC4272"/>
    <w:rsid w:val="00AF3647"/>
    <w:rsid w:val="00AF4205"/>
    <w:rsid w:val="00B1628C"/>
    <w:rsid w:val="00B561B6"/>
    <w:rsid w:val="00B62D04"/>
    <w:rsid w:val="00BD2465"/>
    <w:rsid w:val="00BD267F"/>
    <w:rsid w:val="00C54A6E"/>
    <w:rsid w:val="00C62006"/>
    <w:rsid w:val="00C74934"/>
    <w:rsid w:val="00C82FDA"/>
    <w:rsid w:val="00C8517B"/>
    <w:rsid w:val="00C92363"/>
    <w:rsid w:val="00CA5C08"/>
    <w:rsid w:val="00CB07C1"/>
    <w:rsid w:val="00CF1539"/>
    <w:rsid w:val="00D30526"/>
    <w:rsid w:val="00D41196"/>
    <w:rsid w:val="00D81EA7"/>
    <w:rsid w:val="00D932F8"/>
    <w:rsid w:val="00DB7B3F"/>
    <w:rsid w:val="00E14577"/>
    <w:rsid w:val="00E16F84"/>
    <w:rsid w:val="00E87301"/>
    <w:rsid w:val="00E94355"/>
    <w:rsid w:val="00EA11AA"/>
    <w:rsid w:val="00EA1E83"/>
    <w:rsid w:val="00EA5E9E"/>
    <w:rsid w:val="00EB0185"/>
    <w:rsid w:val="00EB2F09"/>
    <w:rsid w:val="00EC2BD8"/>
    <w:rsid w:val="00EE38B3"/>
    <w:rsid w:val="00F944C0"/>
    <w:rsid w:val="00FB0D9C"/>
    <w:rsid w:val="00FF0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5C607"/>
  <w15:chartTrackingRefBased/>
  <w15:docId w15:val="{977F1EF7-426B-435F-9925-FAF585B1B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196"/>
    <w:pPr>
      <w:spacing w:before="120" w:after="0" w:line="312" w:lineRule="auto"/>
    </w:pPr>
    <w:rPr>
      <w:rFonts w:eastAsiaTheme="minorEastAsia"/>
      <w:color w:val="000000" w:themeColor="text1"/>
      <w:kern w:val="0"/>
      <w:szCs w:val="22"/>
      <w14:ligatures w14:val="none"/>
    </w:rPr>
  </w:style>
  <w:style w:type="paragraph" w:styleId="Heading1">
    <w:name w:val="heading 1"/>
    <w:basedOn w:val="Normal"/>
    <w:next w:val="Normal"/>
    <w:link w:val="Heading1Char"/>
    <w:uiPriority w:val="9"/>
    <w:qFormat/>
    <w:rsid w:val="00D41196"/>
    <w:pPr>
      <w:keepNext/>
      <w:keepLines/>
      <w:framePr w:hSpace="180" w:wrap="around" w:vAnchor="page" w:hAnchor="margin" w:y="5119"/>
      <w:spacing w:before="360" w:after="80"/>
      <w:outlineLvl w:val="0"/>
    </w:pPr>
    <w:rPr>
      <w:rFonts w:asciiTheme="majorHAnsi" w:eastAsiaTheme="majorEastAsia" w:hAnsiTheme="majorHAnsi" w:cs="Times New Roman (Headings CS)"/>
      <w:b/>
      <w:caps/>
      <w:color w:val="FFFFFF" w:themeColor="background1"/>
      <w:sz w:val="52"/>
      <w:szCs w:val="40"/>
    </w:rPr>
  </w:style>
  <w:style w:type="paragraph" w:styleId="Heading2">
    <w:name w:val="heading 2"/>
    <w:basedOn w:val="Bold"/>
    <w:next w:val="Normal"/>
    <w:link w:val="Heading2Char"/>
    <w:uiPriority w:val="9"/>
    <w:unhideWhenUsed/>
    <w:qFormat/>
    <w:rsid w:val="00D41196"/>
    <w:pPr>
      <w:outlineLvl w:val="1"/>
    </w:pPr>
    <w:rPr>
      <w:noProof/>
      <w:szCs w:val="40"/>
    </w:rPr>
  </w:style>
  <w:style w:type="paragraph" w:styleId="Heading3">
    <w:name w:val="heading 3"/>
    <w:basedOn w:val="Normal"/>
    <w:next w:val="Normal"/>
    <w:link w:val="Heading3Char"/>
    <w:uiPriority w:val="9"/>
    <w:semiHidden/>
    <w:unhideWhenUsed/>
    <w:qFormat/>
    <w:rsid w:val="00E14577"/>
    <w:pPr>
      <w:keepNext/>
      <w:keepLines/>
      <w:spacing w:before="160" w:after="80"/>
      <w:outlineLvl w:val="2"/>
    </w:pPr>
    <w:rPr>
      <w:rFonts w:eastAsiaTheme="majorEastAsia" w:cstheme="majorBidi"/>
      <w:color w:val="039A6C" w:themeColor="accent1" w:themeShade="BF"/>
      <w:sz w:val="28"/>
      <w:szCs w:val="28"/>
    </w:rPr>
  </w:style>
  <w:style w:type="paragraph" w:styleId="Heading4">
    <w:name w:val="heading 4"/>
    <w:basedOn w:val="Normal"/>
    <w:next w:val="Normal"/>
    <w:link w:val="Heading4Char"/>
    <w:uiPriority w:val="9"/>
    <w:semiHidden/>
    <w:unhideWhenUsed/>
    <w:qFormat/>
    <w:rsid w:val="00E14577"/>
    <w:pPr>
      <w:keepNext/>
      <w:keepLines/>
      <w:spacing w:before="80" w:after="40"/>
      <w:outlineLvl w:val="3"/>
    </w:pPr>
    <w:rPr>
      <w:rFonts w:eastAsiaTheme="majorEastAsia" w:cstheme="majorBidi"/>
      <w:i/>
      <w:iCs/>
      <w:color w:val="039A6C" w:themeColor="accent1" w:themeShade="BF"/>
    </w:rPr>
  </w:style>
  <w:style w:type="paragraph" w:styleId="Heading5">
    <w:name w:val="heading 5"/>
    <w:basedOn w:val="Normal"/>
    <w:next w:val="Normal"/>
    <w:link w:val="Heading5Char"/>
    <w:uiPriority w:val="9"/>
    <w:semiHidden/>
    <w:unhideWhenUsed/>
    <w:qFormat/>
    <w:rsid w:val="00E14577"/>
    <w:pPr>
      <w:keepNext/>
      <w:keepLines/>
      <w:spacing w:before="80" w:after="40"/>
      <w:outlineLvl w:val="4"/>
    </w:pPr>
    <w:rPr>
      <w:rFonts w:eastAsiaTheme="majorEastAsia" w:cstheme="majorBidi"/>
      <w:color w:val="039A6C" w:themeColor="accent1" w:themeShade="BF"/>
    </w:rPr>
  </w:style>
  <w:style w:type="paragraph" w:styleId="Heading6">
    <w:name w:val="heading 6"/>
    <w:basedOn w:val="Normal"/>
    <w:next w:val="Normal"/>
    <w:link w:val="Heading6Char"/>
    <w:uiPriority w:val="9"/>
    <w:semiHidden/>
    <w:unhideWhenUsed/>
    <w:qFormat/>
    <w:rsid w:val="00E1457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457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457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457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196"/>
    <w:rPr>
      <w:rFonts w:asciiTheme="majorHAnsi" w:eastAsiaTheme="majorEastAsia" w:hAnsiTheme="majorHAnsi" w:cs="Times New Roman (Headings CS)"/>
      <w:b/>
      <w:caps/>
      <w:color w:val="FFFFFF" w:themeColor="background1"/>
      <w:kern w:val="0"/>
      <w:sz w:val="52"/>
      <w:szCs w:val="40"/>
      <w14:ligatures w14:val="none"/>
    </w:rPr>
  </w:style>
  <w:style w:type="character" w:customStyle="1" w:styleId="Heading2Char">
    <w:name w:val="Heading 2 Char"/>
    <w:basedOn w:val="DefaultParagraphFont"/>
    <w:link w:val="Heading2"/>
    <w:uiPriority w:val="9"/>
    <w:rsid w:val="00D41196"/>
    <w:rPr>
      <w:rFonts w:asciiTheme="majorHAnsi" w:eastAsiaTheme="minorEastAsia" w:hAnsiTheme="majorHAnsi"/>
      <w:b/>
      <w:bCs/>
      <w:noProof/>
      <w:color w:val="000000" w:themeColor="text1"/>
      <w:kern w:val="0"/>
      <w:szCs w:val="40"/>
      <w14:ligatures w14:val="none"/>
    </w:rPr>
  </w:style>
  <w:style w:type="character" w:customStyle="1" w:styleId="Heading3Char">
    <w:name w:val="Heading 3 Char"/>
    <w:basedOn w:val="DefaultParagraphFont"/>
    <w:link w:val="Heading3"/>
    <w:uiPriority w:val="9"/>
    <w:semiHidden/>
    <w:rsid w:val="00E14577"/>
    <w:rPr>
      <w:rFonts w:eastAsiaTheme="majorEastAsia" w:cstheme="majorBidi"/>
      <w:color w:val="039A6C" w:themeColor="accent1" w:themeShade="BF"/>
      <w:sz w:val="28"/>
      <w:szCs w:val="28"/>
    </w:rPr>
  </w:style>
  <w:style w:type="character" w:customStyle="1" w:styleId="Heading4Char">
    <w:name w:val="Heading 4 Char"/>
    <w:basedOn w:val="DefaultParagraphFont"/>
    <w:link w:val="Heading4"/>
    <w:uiPriority w:val="9"/>
    <w:semiHidden/>
    <w:rsid w:val="00E14577"/>
    <w:rPr>
      <w:rFonts w:eastAsiaTheme="majorEastAsia" w:cstheme="majorBidi"/>
      <w:i/>
      <w:iCs/>
      <w:color w:val="039A6C" w:themeColor="accent1" w:themeShade="BF"/>
    </w:rPr>
  </w:style>
  <w:style w:type="character" w:customStyle="1" w:styleId="Heading5Char">
    <w:name w:val="Heading 5 Char"/>
    <w:basedOn w:val="DefaultParagraphFont"/>
    <w:link w:val="Heading5"/>
    <w:uiPriority w:val="9"/>
    <w:semiHidden/>
    <w:rsid w:val="00E14577"/>
    <w:rPr>
      <w:rFonts w:eastAsiaTheme="majorEastAsia" w:cstheme="majorBidi"/>
      <w:color w:val="039A6C" w:themeColor="accent1" w:themeShade="BF"/>
    </w:rPr>
  </w:style>
  <w:style w:type="character" w:customStyle="1" w:styleId="Heading6Char">
    <w:name w:val="Heading 6 Char"/>
    <w:basedOn w:val="DefaultParagraphFont"/>
    <w:link w:val="Heading6"/>
    <w:uiPriority w:val="9"/>
    <w:semiHidden/>
    <w:rsid w:val="00E145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45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45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4577"/>
    <w:rPr>
      <w:rFonts w:eastAsiaTheme="majorEastAsia" w:cstheme="majorBidi"/>
      <w:color w:val="272727" w:themeColor="text1" w:themeTint="D8"/>
    </w:rPr>
  </w:style>
  <w:style w:type="paragraph" w:styleId="Title">
    <w:name w:val="Title"/>
    <w:basedOn w:val="Normal"/>
    <w:next w:val="Normal"/>
    <w:link w:val="TitleChar"/>
    <w:uiPriority w:val="1"/>
    <w:qFormat/>
    <w:rsid w:val="00D41196"/>
    <w:pPr>
      <w:spacing w:before="0" w:line="216" w:lineRule="auto"/>
      <w:contextualSpacing/>
    </w:pPr>
    <w:rPr>
      <w:rFonts w:eastAsiaTheme="majorEastAsia" w:cs="Times New Roman (Headings CS)"/>
      <w:b/>
      <w:caps/>
      <w:color w:val="auto"/>
      <w:spacing w:val="-10"/>
      <w:kern w:val="28"/>
      <w:sz w:val="96"/>
      <w:szCs w:val="56"/>
      <w14:ligatures w14:val="standardContextual"/>
    </w:rPr>
  </w:style>
  <w:style w:type="character" w:customStyle="1" w:styleId="TitleChar">
    <w:name w:val="Title Char"/>
    <w:basedOn w:val="DefaultParagraphFont"/>
    <w:link w:val="Title"/>
    <w:uiPriority w:val="1"/>
    <w:rsid w:val="00D41196"/>
    <w:rPr>
      <w:rFonts w:eastAsiaTheme="majorEastAsia" w:cs="Times New Roman (Headings CS)"/>
      <w:b/>
      <w:caps/>
      <w:spacing w:val="-10"/>
      <w:kern w:val="28"/>
      <w:sz w:val="96"/>
      <w:szCs w:val="56"/>
    </w:rPr>
  </w:style>
  <w:style w:type="paragraph" w:styleId="Subtitle">
    <w:name w:val="Subtitle"/>
    <w:basedOn w:val="Normal"/>
    <w:next w:val="Normal"/>
    <w:link w:val="SubtitleChar"/>
    <w:uiPriority w:val="11"/>
    <w:qFormat/>
    <w:rsid w:val="00E145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45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4577"/>
    <w:pPr>
      <w:spacing w:before="160"/>
      <w:jc w:val="center"/>
    </w:pPr>
    <w:rPr>
      <w:i/>
      <w:iCs/>
      <w:color w:val="404040" w:themeColor="text1" w:themeTint="BF"/>
    </w:rPr>
  </w:style>
  <w:style w:type="character" w:customStyle="1" w:styleId="QuoteChar">
    <w:name w:val="Quote Char"/>
    <w:basedOn w:val="DefaultParagraphFont"/>
    <w:link w:val="Quote"/>
    <w:uiPriority w:val="29"/>
    <w:rsid w:val="00E14577"/>
    <w:rPr>
      <w:i/>
      <w:iCs/>
      <w:color w:val="404040" w:themeColor="text1" w:themeTint="BF"/>
    </w:rPr>
  </w:style>
  <w:style w:type="paragraph" w:styleId="ListParagraph">
    <w:name w:val="List Paragraph"/>
    <w:basedOn w:val="Normal"/>
    <w:uiPriority w:val="34"/>
    <w:qFormat/>
    <w:rsid w:val="00E14577"/>
    <w:pPr>
      <w:ind w:left="720"/>
      <w:contextualSpacing/>
    </w:pPr>
  </w:style>
  <w:style w:type="character" w:styleId="IntenseEmphasis">
    <w:name w:val="Intense Emphasis"/>
    <w:basedOn w:val="DefaultParagraphFont"/>
    <w:uiPriority w:val="21"/>
    <w:qFormat/>
    <w:rsid w:val="00E14577"/>
    <w:rPr>
      <w:i/>
      <w:iCs/>
      <w:color w:val="039A6C" w:themeColor="accent1" w:themeShade="BF"/>
    </w:rPr>
  </w:style>
  <w:style w:type="paragraph" w:styleId="IntenseQuote">
    <w:name w:val="Intense Quote"/>
    <w:basedOn w:val="Normal"/>
    <w:next w:val="Normal"/>
    <w:link w:val="IntenseQuoteChar"/>
    <w:uiPriority w:val="30"/>
    <w:qFormat/>
    <w:rsid w:val="00E14577"/>
    <w:pPr>
      <w:pBdr>
        <w:top w:val="single" w:sz="4" w:space="10" w:color="039A6C" w:themeColor="accent1" w:themeShade="BF"/>
        <w:bottom w:val="single" w:sz="4" w:space="10" w:color="039A6C" w:themeColor="accent1" w:themeShade="BF"/>
      </w:pBdr>
      <w:spacing w:before="360" w:after="360"/>
      <w:ind w:left="864" w:right="864"/>
      <w:jc w:val="center"/>
    </w:pPr>
    <w:rPr>
      <w:i/>
      <w:iCs/>
      <w:color w:val="039A6C" w:themeColor="accent1" w:themeShade="BF"/>
    </w:rPr>
  </w:style>
  <w:style w:type="character" w:customStyle="1" w:styleId="IntenseQuoteChar">
    <w:name w:val="Intense Quote Char"/>
    <w:basedOn w:val="DefaultParagraphFont"/>
    <w:link w:val="IntenseQuote"/>
    <w:uiPriority w:val="30"/>
    <w:rsid w:val="00E14577"/>
    <w:rPr>
      <w:i/>
      <w:iCs/>
      <w:color w:val="039A6C" w:themeColor="accent1" w:themeShade="BF"/>
    </w:rPr>
  </w:style>
  <w:style w:type="character" w:styleId="IntenseReference">
    <w:name w:val="Intense Reference"/>
    <w:basedOn w:val="DefaultParagraphFont"/>
    <w:uiPriority w:val="32"/>
    <w:qFormat/>
    <w:rsid w:val="00E14577"/>
    <w:rPr>
      <w:b/>
      <w:bCs/>
      <w:smallCaps/>
      <w:color w:val="039A6C" w:themeColor="accent1" w:themeShade="BF"/>
      <w:spacing w:val="5"/>
    </w:rPr>
  </w:style>
  <w:style w:type="paragraph" w:customStyle="1" w:styleId="Info">
    <w:name w:val="Info"/>
    <w:basedOn w:val="Normal"/>
    <w:qFormat/>
    <w:rsid w:val="00CF1539"/>
    <w:pPr>
      <w:framePr w:hSpace="180" w:wrap="around" w:vAnchor="page" w:hAnchor="margin" w:y="5119"/>
      <w:spacing w:before="0"/>
    </w:pPr>
    <w:rPr>
      <w:szCs w:val="24"/>
    </w:rPr>
  </w:style>
  <w:style w:type="paragraph" w:customStyle="1" w:styleId="Bold">
    <w:name w:val="Bold"/>
    <w:basedOn w:val="Normal"/>
    <w:qFormat/>
    <w:rsid w:val="00D41196"/>
    <w:rPr>
      <w:rFonts w:asciiTheme="majorHAnsi" w:hAnsiTheme="majorHAnsi"/>
      <w:b/>
      <w:bCs/>
    </w:rPr>
  </w:style>
  <w:style w:type="table" w:styleId="TableGrid">
    <w:name w:val="Table Grid"/>
    <w:basedOn w:val="TableNormal"/>
    <w:uiPriority w:val="39"/>
    <w:rsid w:val="00E14577"/>
    <w:pPr>
      <w:spacing w:after="0" w:line="240" w:lineRule="auto"/>
    </w:pPr>
    <w:rPr>
      <w:kern w:val="0"/>
      <w:sz w:val="1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4577"/>
    <w:rPr>
      <w:color w:val="0000FF"/>
      <w:u w:val="single"/>
    </w:rPr>
  </w:style>
  <w:style w:type="paragraph" w:styleId="Header">
    <w:name w:val="header"/>
    <w:basedOn w:val="Normal"/>
    <w:link w:val="HeaderChar"/>
    <w:uiPriority w:val="99"/>
    <w:unhideWhenUsed/>
    <w:rsid w:val="00E1457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E14577"/>
    <w:rPr>
      <w:rFonts w:eastAsiaTheme="minorEastAsia"/>
      <w:color w:val="000000" w:themeColor="text1"/>
      <w:kern w:val="0"/>
      <w:sz w:val="22"/>
      <w:szCs w:val="22"/>
      <w14:ligatures w14:val="none"/>
    </w:rPr>
  </w:style>
  <w:style w:type="paragraph" w:styleId="Footer">
    <w:name w:val="footer"/>
    <w:basedOn w:val="Normal"/>
    <w:link w:val="FooterChar"/>
    <w:uiPriority w:val="99"/>
    <w:unhideWhenUsed/>
    <w:rsid w:val="00B561B6"/>
    <w:pPr>
      <w:tabs>
        <w:tab w:val="center" w:pos="4680"/>
        <w:tab w:val="right" w:pos="9360"/>
      </w:tabs>
      <w:spacing w:before="0" w:line="240" w:lineRule="auto"/>
    </w:pPr>
    <w:rPr>
      <w:rFonts w:cs="Times New Roman (Body CS)"/>
      <w:sz w:val="20"/>
    </w:rPr>
  </w:style>
  <w:style w:type="character" w:customStyle="1" w:styleId="FooterChar">
    <w:name w:val="Footer Char"/>
    <w:basedOn w:val="DefaultParagraphFont"/>
    <w:link w:val="Footer"/>
    <w:uiPriority w:val="99"/>
    <w:rsid w:val="00B561B6"/>
    <w:rPr>
      <w:rFonts w:ascii="Microsoft Sans Serif" w:eastAsiaTheme="minorEastAsia" w:hAnsi="Microsoft Sans Serif" w:cs="Times New Roman (Body CS)"/>
      <w:color w:val="000000" w:themeColor="text1"/>
      <w:kern w:val="0"/>
      <w:sz w:val="20"/>
      <w:szCs w:val="22"/>
      <w14:ligatures w14:val="none"/>
    </w:rPr>
  </w:style>
  <w:style w:type="character" w:styleId="PageNumber">
    <w:name w:val="page number"/>
    <w:basedOn w:val="DefaultParagraphFont"/>
    <w:uiPriority w:val="99"/>
    <w:semiHidden/>
    <w:unhideWhenUsed/>
    <w:rsid w:val="00E14577"/>
  </w:style>
  <w:style w:type="paragraph" w:styleId="ListBullet">
    <w:name w:val="List Bullet"/>
    <w:basedOn w:val="Normal"/>
    <w:uiPriority w:val="99"/>
    <w:rsid w:val="00D41196"/>
    <w:pPr>
      <w:numPr>
        <w:numId w:val="2"/>
      </w:numPr>
    </w:pPr>
  </w:style>
  <w:style w:type="character" w:styleId="Emphasis">
    <w:name w:val="Emphasis"/>
    <w:basedOn w:val="DefaultParagraphFont"/>
    <w:uiPriority w:val="20"/>
    <w:qFormat/>
    <w:rsid w:val="00D41196"/>
    <w:rPr>
      <w:b/>
      <w:i w:val="0"/>
      <w:iCs/>
    </w:rPr>
  </w:style>
  <w:style w:type="paragraph" w:styleId="NormalWeb">
    <w:name w:val="Normal (Web)"/>
    <w:basedOn w:val="Normal"/>
    <w:uiPriority w:val="99"/>
    <w:unhideWhenUsed/>
    <w:rsid w:val="004617AE"/>
    <w:pPr>
      <w:spacing w:before="100" w:beforeAutospacing="1" w:after="100" w:afterAutospacing="1" w:line="240" w:lineRule="auto"/>
    </w:pPr>
    <w:rPr>
      <w:rFonts w:ascii="Times New Roman" w:eastAsia="Times New Roman" w:hAnsi="Times New Roman" w:cs="Times New Roman"/>
      <w:color w:val="auto"/>
      <w:szCs w:val="24"/>
    </w:rPr>
  </w:style>
  <w:style w:type="character" w:styleId="Strong">
    <w:name w:val="Strong"/>
    <w:basedOn w:val="DefaultParagraphFont"/>
    <w:uiPriority w:val="22"/>
    <w:qFormat/>
    <w:rsid w:val="004617AE"/>
    <w:rPr>
      <w:b/>
      <w:bCs/>
    </w:rPr>
  </w:style>
  <w:style w:type="character" w:styleId="UnresolvedMention">
    <w:name w:val="Unresolved Mention"/>
    <w:basedOn w:val="DefaultParagraphFont"/>
    <w:uiPriority w:val="99"/>
    <w:semiHidden/>
    <w:unhideWhenUsed/>
    <w:rsid w:val="00105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Rodriguez\AppData\Local\Microsoft\Office\16.0\DTS\en-US%7b2167BA11-41FF-40A8-8B6D-0393F9430C7A%7d\%7b6A79EFCB-7923-43B5-A977-F0B59A4D9A0D%7dTF15d030a7-4d0a-4c1c-8a3e-3a7590a124cedd8a6b98_win32-38785b346894.dotx" TargetMode="External"/></Relationships>
</file>

<file path=word/theme/theme1.xml><?xml version="1.0" encoding="utf-8"?>
<a:theme xmlns:a="http://schemas.openxmlformats.org/drawingml/2006/main" name="Office Theme">
  <a:themeElements>
    <a:clrScheme name="Business report professional design">
      <a:dk1>
        <a:srgbClr val="000000"/>
      </a:dk1>
      <a:lt1>
        <a:srgbClr val="FFFFFF"/>
      </a:lt1>
      <a:dk2>
        <a:srgbClr val="0E2841"/>
      </a:dk2>
      <a:lt2>
        <a:srgbClr val="E8E8E8"/>
      </a:lt2>
      <a:accent1>
        <a:srgbClr val="05CF92"/>
      </a:accent1>
      <a:accent2>
        <a:srgbClr val="0054B9"/>
      </a:accent2>
      <a:accent3>
        <a:srgbClr val="FDE700"/>
      </a:accent3>
      <a:accent4>
        <a:srgbClr val="F160B7"/>
      </a:accent4>
      <a:accent5>
        <a:srgbClr val="714EEB"/>
      </a:accent5>
      <a:accent6>
        <a:srgbClr val="FF3A2E"/>
      </a:accent6>
      <a:hlink>
        <a:srgbClr val="467886"/>
      </a:hlink>
      <a:folHlink>
        <a:srgbClr val="96607D"/>
      </a:folHlink>
    </a:clrScheme>
    <a:fontScheme name="Custom 21">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30" ma:contentTypeDescription="Create a new document." ma:contentTypeScope="" ma:versionID="cec0622158e8f13124e9e8fd4de31bd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52f30ab005d15df08657af532e6e3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hidden="true"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hidden="tru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hidden="true" ma:internalName="Background" ma:readOnly="false">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8AA05782-1956-4ABD-9469-5855286A5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CA0720-E518-4C54-8EC1-2FF547E897F0}">
  <ds:schemaRefs>
    <ds:schemaRef ds:uri="http://schemas.microsoft.com/sharepoint/v3/contenttype/forms"/>
  </ds:schemaRefs>
</ds:datastoreItem>
</file>

<file path=customXml/itemProps3.xml><?xml version="1.0" encoding="utf-8"?>
<ds:datastoreItem xmlns:ds="http://schemas.openxmlformats.org/officeDocument/2006/customXml" ds:itemID="{27A94286-1488-4B05-BE05-620B873327F0}">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{6A79EFCB-7923-43B5-A977-F0B59A4D9A0D}TF15d030a7-4d0a-4c1c-8a3e-3a7590a124cedd8a6b98_win32-38785b346894</Template>
  <TotalTime>1124</TotalTime>
  <Pages>6</Pages>
  <Words>1052</Words>
  <Characters>6421</Characters>
  <Application>Microsoft Office Word</Application>
  <DocSecurity>0</DocSecurity>
  <Lines>133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Rodriguez</dc:creator>
  <cp:keywords/>
  <dc:description/>
  <cp:lastModifiedBy>Karen Rodriguez</cp:lastModifiedBy>
  <cp:revision>37</cp:revision>
  <cp:lastPrinted>2025-05-01T20:47:00Z</cp:lastPrinted>
  <dcterms:created xsi:type="dcterms:W3CDTF">2025-10-23T19:48:00Z</dcterms:created>
  <dcterms:modified xsi:type="dcterms:W3CDTF">2025-10-24T15:40:00Z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