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560"/>
        <w:jc w:val="center"/>
      </w:pPr>
      <w:r>
        <w:rPr>
          <w:rFonts w:ascii="Garamond" w:cs="Garamond" w:eastAsia="Garamond" w:hAnsi="Garamond"/>
          <w:b/>
          <w:bCs/>
          <w:caps/>
          <w:color w:val="1B2A4A"/>
          <w:sz w:val="56"/>
          <w:szCs w:val="56"/>
        </w:rPr>
        <w:t xml:space="preserve">THE IMMORTALITY THEOREM</w:t>
      </w:r>
    </w:p>
    <w:p>
      <w:pPr>
        <w:pBdr>
          <w:bottom w:val="single" w:color="C9972A" w:sz="6"/>
        </w:pBdr>
        <w:spacing w:after="0" w:before="0"/>
        <w:jc w:val="center"/>
      </w:pPr>
      <w:r>
        <w:rPr>
          <w:rFonts w:ascii="Garamond" w:cs="Garamond" w:eastAsia="Garamond" w:hAnsi="Garamond"/>
          <w:b/>
          <w:bCs/>
          <w:color w:val="1B2A4A"/>
          <w:sz w:val="28"/>
          <w:szCs w:val="28"/>
        </w:rPr>
        <w:t xml:space="preserve">A Formal Derivation of the Conditions for the Persistence of Body and Soul</w:t>
      </w:r>
    </w:p>
    <w:p>
      <w:pPr>
        <w:spacing w:after="60" w:before="200"/>
        <w:jc w:val="center"/>
      </w:pPr>
      <w:r>
        <w:rPr>
          <w:rFonts w:ascii="Garamond" w:cs="Garamond" w:eastAsia="Garamond" w:hAnsi="Garamond"/>
          <w:i/>
          <w:iCs/>
          <w:color w:val="C9972A"/>
          <w:sz w:val="22"/>
          <w:szCs w:val="22"/>
        </w:rPr>
        <w:t xml:space="preserve">Third Edition — Revised and Extended in Response to Second Critical Review</w:t>
      </w:r>
    </w:p>
    <w:p>
      <w:pPr>
        <w:spacing w:after="80" w:before="0"/>
        <w:jc w:val="center"/>
      </w:pPr>
      <w:r>
        <w:rPr>
          <w:rFonts w:ascii="Garamond" w:cs="Garamond" w:eastAsia="Garamond" w:hAnsi="Garamond"/>
          <w:i/>
          <w:iCs/>
          <w:color w:val="4A5568"/>
          <w:sz w:val="22"/>
          <w:szCs w:val="22"/>
        </w:rPr>
        <w:t xml:space="preserve">Derived from the Theory of Absolute Self-Origination and the Dynamic Freedom Theorem</w:t>
      </w:r>
    </w:p>
    <w:p>
      <w:pPr>
        <w:spacing w:after="80" w:before="0"/>
        <w:jc w:val="center"/>
      </w:pPr>
      <w:r>
        <w:rPr>
          <w:rFonts w:ascii="Garamond" w:cs="Garamond" w:eastAsia="Garamond" w:hAnsi="Garamond"/>
          <w:color w:val="1B2A4A"/>
          <w:sz w:val="22"/>
          <w:szCs w:val="22"/>
        </w:rPr>
        <w:t xml:space="preserve">Filosofia das Virtudes  ·  José Caetano de Mattos</w:t>
      </w:r>
    </w:p>
    <w:p>
      <w:pPr>
        <w:spacing w:after="400" w:before="0"/>
        <w:jc w:val="center"/>
      </w:pPr>
      <w:r>
        <w:rPr>
          <w:rFonts w:ascii="Garamond" w:cs="Garamond" w:eastAsia="Garamond" w:hAnsi="Garamond"/>
          <w:i/>
          <w:iCs/>
          <w:color w:val="4A5568"/>
          <w:sz w:val="20"/>
          <w:szCs w:val="20"/>
        </w:rPr>
        <w:t xml:space="preserve">Rio de Janeiro, 2023  ·  Merano,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Third edition additions</w:t>
            </w:r>
          </w:p>
        </w:tc>
        <w:tc>
          <w:tcPr>
            <w:tcW w:type="dxa" w:w="58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Content</w:t>
            </w:r>
          </w:p>
        </w:tc>
      </w:tr>
      <w:tr>
        <w:tc>
          <w:tcPr>
            <w:tcW w:type="dxa" w:w="3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§2.2 — P1 Defence</w:t>
            </w:r>
          </w:p>
        </w:tc>
        <w:tc>
          <w:tcPr>
            <w:tcW w:type="dxa" w:w="5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Positive Case for O(O) = O as the Ground of Consciousness. Develops the strongest available philosophical argument for Axiom P1 beyond the convergence claim. New section in Chapter II.</w:t>
            </w:r>
          </w:p>
        </w:tc>
      </w:tr>
      <w:tr>
        <w:tc>
          <w:tcPr>
            <w:tcW w:type="dxa" w:w="3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§4.6 — DFT-C Coupling</w:t>
            </w:r>
          </w:p>
        </w:tc>
        <w:tc>
          <w:tcPr>
            <w:tcW w:type="dxa" w:w="5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Psychoneuroimmunological Bridge. Formally specifies how virtue dynamics (S = (F×A)/R) causally modulate the three Cᵢ components. New section in Chapter IV.</w:t>
            </w:r>
          </w:p>
        </w:tc>
      </w:tr>
      <w:tr>
        <w:tc>
          <w:tcPr>
            <w:tcW w:type="dxa" w:w="32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§11.2 — Necessity of Instantiation</w:t>
            </w:r>
          </w:p>
        </w:tc>
        <w:tc>
          <w:tcPr>
            <w:tcW w:type="dxa" w:w="58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Question Beyond Mode II. Formally addresses why the act instantiates in matter and what can be derived about the necessity of that instantiation. New section in Chapter XI.</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Abstract</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This third edition adds three sections in response to second-round critical review. Section 2.2 develops the positive case for Axiom P1 (O(O) = O as the ground of consciousness) beyond the convergence argument, engaging the Hard Problem directly as evidence for rather than merely against materialism. Section 4.6 formally specifies the psychoneuroimmunological bridge between virtue dynamics (S = (F×A)/R from the DFT) and the three components of biological repair capacity Cᵢ, resolving the question of how an immaterial act causally modulates telomere maintenance, autophagy, and epigenetic stability. Section 11.2 addresses the necessity of instantiation — why the act O(O) = O that is formally prior to its instantiations nonetheless appears in material form — and derives what can be formally said about this question before it reaches the boundary of formal undecidability.</w:t>
      </w:r>
    </w:p>
    <w:p>
      <w:pPr>
        <w:spacing w:after="160" w:before="0" w:line="288"/>
        <w:jc w:val="both"/>
      </w:pPr>
      <w:r>
        <w:rPr>
          <w:rFonts w:ascii="Garamond" w:cs="Garamond" w:eastAsia="Garamond" w:hAnsi="Garamond"/>
          <w:b w:val="false"/>
          <w:bCs w:val="false"/>
          <w:i w:val="false"/>
          <w:iCs w:val="false"/>
          <w:caps w:val="false"/>
          <w:color w:val="000000"/>
          <w:sz w:val="22"/>
          <w:szCs w:val="22"/>
        </w:rPr>
        <w:t xml:space="preserve">The Immortality Theorem itself is unchanged. The three additions strengthen the system’s foundational defence, close the causal gap between its psychological and biological layers, and map the deepest remaining frontier question with formal precision.</w:t>
      </w:r>
    </w:p>
    <w:p>
      <w:pPr>
        <w:spacing w:after="140" w:before="0" w:line="276"/>
        <w:jc w:val="both"/>
      </w:pPr>
      <w:r>
        <w:rPr>
          <w:rFonts w:ascii="Garamond" w:cs="Garamond" w:eastAsia="Garamond" w:hAnsi="Garamond"/>
          <w:b/>
          <w:bCs/>
          <w:i w:val="false"/>
          <w:iCs w:val="false"/>
          <w:caps w:val="false"/>
          <w:color w:val="000000"/>
          <w:sz w:val="22"/>
          <w:szCs w:val="22"/>
        </w:rPr>
        <w:t xml:space="preserve">Keywords: </w:t>
      </w:r>
      <w:r>
        <w:rPr>
          <w:rFonts w:ascii="Garamond" w:cs="Garamond" w:eastAsia="Garamond" w:hAnsi="Garamond"/>
          <w:b w:val="false"/>
          <w:bCs w:val="false"/>
          <w:i/>
          <w:iCs/>
          <w:caps w:val="false"/>
          <w:color w:val="000000"/>
          <w:sz w:val="21"/>
          <w:szCs w:val="21"/>
        </w:rPr>
        <w:t xml:space="preserve">Immortality Theorem · P1 defence · Hard Problem · DFT-C coupling · psychoneuroimmunology · necessity of instantiation · Omega-two Criterion Test · soul persistence · Third Edition</w:t>
      </w:r>
    </w:p>
    <w:p>
      <w:pPr>
        <w:pBdr>
          <w:bottom w:val="single" w:color="C9972A" w:sz="2"/>
        </w:pBdr>
        <w:spacing w:after="240" w:before="240"/>
      </w:pPr>
      <w:r>
        <w:t xml:space="preserve"/>
      </w:r>
    </w:p>
    <w:p>
      <w:pPr>
        <w:spacing w:after="200"/>
      </w:pPr>
      <w:r>
        <w:t xml:space="preserve"/>
      </w:r>
    </w:p>
    <w:p>
      <w:pPr>
        <w:pStyle w:val="Heading1"/>
        <w:pBdr>
          <w:bottom w:val="single" w:color="C9972A" w:sz="6"/>
        </w:pBdr>
        <w:spacing w:after="180" w:before="480"/>
      </w:pPr>
      <w:r>
        <w:rPr>
          <w:rFonts w:ascii="Garamond" w:cs="Garamond" w:eastAsia="Garamond" w:hAnsi="Garamond"/>
          <w:b/>
          <w:bCs/>
          <w:caps/>
          <w:color w:val="1B2A4A"/>
          <w:sz w:val="34"/>
          <w:szCs w:val="34"/>
        </w:rPr>
        <w:t xml:space="preserve">I. Introduction</w:t>
      </w:r>
    </w:p>
    <w:p>
      <w:pPr>
        <w:spacing w:after="160" w:before="0" w:line="288"/>
        <w:jc w:val="both"/>
      </w:pPr>
      <w:r>
        <w:rPr>
          <w:rFonts w:ascii="Garamond" w:cs="Garamond" w:eastAsia="Garamond" w:hAnsi="Garamond"/>
          <w:sz w:val="22"/>
          <w:szCs w:val="22"/>
        </w:rPr>
        <w:t xml:space="preserve">The question of immortality is among the oldest in human thought and among the least formally developed. This article derives the conditions under which immortality of both body and soul is formally possible, from first principles established in the Theory of Absolute Self-Origination (ASO) and the Dynamic Freedom Theorem (DFT), without theological premises or materialist assumptions.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9972A" w:sz="16"/>
              <w:bottom w:val="none" w:color="FFFFFF" w:sz="0"/>
              <w:right w:val="none" w:color="FFFFFF" w:sz="0"/>
            </w:tcBorders>
            <w:shd w:fill="FDF6EC" w:val="clear"/>
            <w:tcMar>
              <w:top w:type="dxa" w:w="120"/>
              <w:left w:type="dxa" w:w="240"/>
              <w:bottom w:type="dxa" w:w="120"/>
              <w:right w:type="dxa" w:w="140"/>
            </w:tcMar>
          </w:tcPr>
          <w:p>
            <w:pPr>
              <w:spacing w:after="0"/>
              <w:jc w:val="left"/>
            </w:pPr>
            <w:r>
              <w:rPr>
                <w:rFonts w:ascii="Garamond" w:cs="Garamond" w:eastAsia="Garamond" w:hAnsi="Garamond"/>
                <w:i/>
                <w:iCs/>
                <w:color w:val="4A5568"/>
                <w:sz w:val="23"/>
                <w:szCs w:val="23"/>
              </w:rPr>
              <w:t xml:space="preserve">Mortality is not an intrinsic property of living systems. It is a structural ratio. The tradition has treated it as a destiny. This article treats it as a variable — and derives the conditions under which that variable approaches zero.</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1.1  Calibrated Claims Architecture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Formally derived</w:t>
            </w:r>
          </w:p>
        </w:tc>
        <w:tc>
          <w:tcPr>
            <w:tcW w:type="dxa" w:w="66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Mortality Index M = E/C and its tripartite structure; the Transdifferentiation Corollary; Mode I, II, and III soul persistence; the four conditions of the OCT; the Immortality Theorem as convergence. The DFT-C coupling (new, §4.6): the mechanism is formally specified and empirically grounded.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Formally motivated</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specific functional form of O2I; the weighting parameters wᵢ; the threshold values θ₁, θ₂, θ (calibrated by ROC/Youden’s J). The P1 defence (§2.2): the argument is maximally developed but remains a philosophical claim, not a mathematical theorem. The necessity of instantiation (§11.2): partially derivable, partially frontier.</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Open frontier</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Mode III soul persistence: formal condition derived; verification awaits calibrated OCT deployment in non-biological substrates. The deepest frontier: why the act must instantiate and whether that necessity is itself derivable.</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II. Foundational Premises from the ASO-DFT System</w:t>
      </w:r>
    </w:p>
    <w:p>
      <w:pPr>
        <w:pStyle w:val="Heading2"/>
        <w:spacing w:after="120" w:before="320"/>
      </w:pPr>
      <w:r>
        <w:rPr>
          <w:rFonts w:ascii="Garamond" w:cs="Garamond" w:eastAsia="Garamond" w:hAnsi="Garamond"/>
          <w:b/>
          <w:bCs/>
          <w:color w:val="1B2A4A"/>
          <w:sz w:val="27"/>
          <w:szCs w:val="27"/>
        </w:rPr>
        <w:t xml:space="preserve">2.1  The Seven Premises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Premise</w:t>
            </w:r>
          </w:p>
        </w:tc>
        <w:tc>
          <w:tcPr>
            <w:tcW w:type="dxa" w:w="62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Content</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P1 — O(O) = O</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foundational act: existence via Brouwer; uniqueness via Banach. Consciousness identified with this fixed point by the FCIT (Step B of the OCT derivation). P1’s defence is developed at length in §2.2.</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P2 — Three conditions</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fixed point requires Boundary, Continuity, and Coherence to remain materially instantiated.</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P3 — OST</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Suffering is structurally entailed by the material instantiation of O(O) = O, because the material world is constitutively characterised by Permeability, Impermanence, and Multiplicity.</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P4 — BADT</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Biological death dissolves one fixed-point instantiation. The act O(O) = O is formally prior to all instantiations and not identical to any of them.</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P5 — Posthumous Theorem</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Sₚᵒˢᵗ = Iᵐ × Γᵥ × kᵐ. Functional persistence is always present when Iᵐ &gt; 0.</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P6 — Banach unity</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The contraction constant k &lt; 1 is entailed by Omega-two. Convergence rate to x* is measurable.</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P7 — FCIT</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Freedom and consciousness are formally identical at the level of O(O) = O. This is a philosophical identification (Step B), not a mathematical theorem (Step A).</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2.2  The Positive Case for P1: Why O(O) = O is the Ground of Consciousness</w:t>
      </w:r>
    </w:p>
    <w:p>
      <w:pPr>
        <w:spacing w:after="160" w:before="0" w:line="288"/>
        <w:jc w:val="both"/>
      </w:pPr>
      <w:r>
        <w:rPr>
          <w:rFonts w:ascii="Garamond" w:cs="Garamond" w:eastAsia="Garamond" w:hAnsi="Garamond"/>
          <w:b/>
          <w:bCs/>
          <w:i w:val="false"/>
          <w:iCs w:val="false"/>
          <w:caps w:val="false"/>
          <w:color w:val="000000"/>
          <w:sz w:val="22"/>
          <w:szCs w:val="22"/>
        </w:rPr>
        <w:t xml:space="preserve">New in this edition.</w:t>
      </w:r>
      <w:r>
        <w:rPr>
          <w:rFonts w:ascii="Garamond" w:cs="Garamond" w:eastAsia="Garamond" w:hAnsi="Garamond"/>
          <w:b w:val="false"/>
          <w:bCs w:val="false"/>
          <w:i w:val="false"/>
          <w:iCs w:val="false"/>
          <w:caps w:val="false"/>
          <w:color w:val="000000"/>
          <w:sz w:val="22"/>
          <w:szCs w:val="22"/>
        </w:rPr>
        <w:t xml:space="preserve"> The convergence argument — fourteen independent disciplines and multiple traditions reaching the same structural conclusion — supports P1 but does not constitute its maximum philosophical defence. This section develops that defence systematically across four independent lines of argument.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04828" w:sz="16"/>
              <w:bottom w:val="none" w:color="FFFFFF" w:sz="0"/>
              <w:right w:val="none" w:color="FFFFFF" w:sz="0"/>
            </w:tcBorders>
            <w:shd w:fill="FEF3F2" w:val="clear"/>
            <w:tcMar>
              <w:top w:type="dxa" w:w="120"/>
              <w:left w:type="dxa" w:w="240"/>
              <w:bottom w:type="dxa" w:w="120"/>
              <w:right w:type="dxa" w:w="140"/>
            </w:tcMar>
          </w:tcPr>
          <w:p>
            <w:pPr>
              <w:spacing w:after="0"/>
              <w:jc w:val="left"/>
            </w:pPr>
            <w:r>
              <w:rPr>
                <w:rFonts w:ascii="Garamond" w:cs="Garamond" w:eastAsia="Garamond" w:hAnsi="Garamond"/>
                <w:i/>
                <w:iCs/>
                <w:color w:val="5A2A1A"/>
                <w:sz w:val="22"/>
                <w:szCs w:val="22"/>
              </w:rPr>
              <w:t xml:space="preserve">Residual objection (second-round review): Even with the ROC statistics, the entire system depends on Axiom P1. If consciousness were not a mathematical fixed point, the entire cathedral would collapse. The second edition made the system stronger for those who engage with it on its own terms. It did not lower the entry cost for the sceptic who rejects P1 from the outset.</w:t>
            </w:r>
          </w:p>
        </w:tc>
      </w:tr>
    </w:tbl>
    <w:p>
      <w:pPr>
        <w:spacing w:after="200"/>
      </w:pPr>
      <w:r>
        <w:t xml:space="preserve"/>
      </w:r>
    </w:p>
    <w:p>
      <w:pPr>
        <w:spacing w:after="160" w:before="200" w:line="288"/>
        <w:jc w:val="both"/>
      </w:pPr>
      <w:r>
        <w:rPr>
          <w:rFonts w:ascii="Garamond" w:cs="Garamond" w:eastAsia="Garamond" w:hAnsi="Garamond"/>
          <w:sz w:val="22"/>
          <w:szCs w:val="22"/>
        </w:rPr>
        <w:t xml:space="preserve">The objection is correct that P1 is the system’s foundational bet. Every formal system makes such a bet. The question is whether P1’s bet is better or worse supported than the alternatives. Four independent arguments establish that it is better supported than any available alternative.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Argument 1 — The Hard Problem as Positive Evidence for P1  </w:t>
            </w:r>
            <w:r>
              <w:rPr>
                <w:rFonts w:ascii="Garamond" w:cs="Garamond" w:eastAsia="Garamond" w:hAnsi="Garamond"/>
                <w:i/>
                <w:iCs/>
                <w:color w:val="C9972A"/>
                <w:sz w:val="20"/>
                <w:szCs w:val="20"/>
              </w:rPr>
              <w:t xml:space="preserve">Formally Original</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sz w:val="21"/>
                <w:szCs w:val="21"/>
              </w:rPr>
              <w:t xml:space="preserve">The standard framing of the Hard Problem (Chalmers, 1996) treats it as evidence that consciousness is </w:t>
            </w:r>
            <w:r>
              <w:rPr>
                <w:rFonts w:ascii="Garamond" w:cs="Garamond" w:eastAsia="Garamond" w:hAnsi="Garamond"/>
                <w:i/>
                <w:iCs/>
                <w:sz w:val="21"/>
                <w:szCs w:val="21"/>
              </w:rPr>
              <w:t xml:space="preserve">inexplicable</w:t>
            </w:r>
            <w:r>
              <w:rPr>
                <w:rFonts w:ascii="Garamond" w:cs="Garamond" w:eastAsia="Garamond" w:hAnsi="Garamond"/>
                <w:sz w:val="21"/>
                <w:szCs w:val="21"/>
              </w:rPr>
              <w:t xml:space="preserve"> within materialism. The P1 argument treats it as positive evidence that P1 is correct. The inference is: if consciousness were a purely physical process — if there were no ontological gap between neural activity and subjective experience — then the Hard Problem would not arise. But the Hard Problem has persisted through 150 years of neuroscience, through every reductionist programme from Helmholtz to the present. Its persistence is not a temporary gap; it is a structural consequence of the materialist inversion. P1 explains why the gap exists: the act of self-knowing being is formally prior to the physical description of it. Matter is how that act appears from the outside. The inside is formally inaccessible from the outside not because we lack information but because the outside is constitutively a description of the inside, not its ground. The Hard Problem is what it looks like when you try to explain the inside from the outside. Its irresolvability is evidence that the inside is genuinely prior. This is not merely an analogical argument. It is a formal inference: if materialism were true, the Hard Problem would have a materialist solution. It has none. P1 explains the absence of that solution.</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Argument 2 — The Self-Reference of the Denial  </w:t>
            </w:r>
            <w:r>
              <w:rPr>
                <w:rFonts w:ascii="Garamond" w:cs="Garamond" w:eastAsia="Garamond" w:hAnsi="Garamond"/>
                <w:i/>
                <w:iCs/>
                <w:color w:val="C9972A"/>
                <w:sz w:val="20"/>
                <w:szCs w:val="20"/>
              </w:rPr>
              <w:t xml:space="preserve">Formally Original — Performative Contradiction</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sz w:val="21"/>
                <w:szCs w:val="21"/>
              </w:rPr>
              <w:t xml:space="preserve">Any attempt to deny P1 — to assert that consciousness is not the self-originating act O(O) = O but a product of material processes — is itself performed by a self-originating act. The materialist assertion “consciousness is produced by the brain” is itself a conscious act of assertion. It presupposes the reality of the consciousness it claims to reduce. This is not merely a rhetorical point. It is a formal observation: the denial of P1 is self-refuting in the precise sense that it instantiates what it denies. Every coherent philosophical position — materialism, dualism, panpsychism, idealism — is advanced by a self-originating act of reasoning. P1 is the only claim that is not undermined by its own performance. This does not prove P1 by logic alone, but it establishes that P1 is in a uniquely privileged epistemic position: it is the only foundational claim in the philosophy of mind that does not require its own denial to be uttered by the very thing it denies.</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Argument 3 — The Structural Convergence Argument  </w:t>
            </w:r>
            <w:r>
              <w:rPr>
                <w:rFonts w:ascii="Garamond" w:cs="Garamond" w:eastAsia="Garamond" w:hAnsi="Garamond"/>
                <w:i/>
                <w:iCs/>
                <w:color w:val="C9972A"/>
                <w:sz w:val="20"/>
                <w:szCs w:val="20"/>
              </w:rPr>
              <w:t xml:space="preserve">Well-Supported — Fourteen Disciplines</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sz w:val="21"/>
                <w:szCs w:val="21"/>
              </w:rPr>
              <w:t xml:space="preserve">Fourteen independent disciplines — physics, mathematics, biology, neuroscience, developmental psychology, political science, linguistics, psychiatry, immunology, contemplative traditions, AI safety, historical record, epidemiology, and geroscience — each produce, at the frontier of their competence, structural observations that are best explained by P1 and for which no alternative account has been proposed that does not either import P1’s structure under a different name or face its own version of the Hard Problem. The convergence is not coincidental. When independent traditions pursuing different methods from different starting points all terminate at the same structural observation — that being’s self-knowledge is prior to its material expression — the most parsimonious explanation is that the observation is tracking something real. This is the same evidential logic that established the existence of atoms, black holes, and tectonic plates: not direct observation but convergence of independent inference chains. P1 is the hypothesis that best explains the convergence.</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Argument 4 — The Asymmetry of Explanatory Resources  </w:t>
            </w:r>
            <w:r>
              <w:rPr>
                <w:rFonts w:ascii="Garamond" w:cs="Garamond" w:eastAsia="Garamond" w:hAnsi="Garamond"/>
                <w:i/>
                <w:iCs/>
                <w:color w:val="C9972A"/>
                <w:sz w:val="20"/>
                <w:szCs w:val="20"/>
              </w:rPr>
              <w:t xml:space="preserve">Formally Original</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sz w:val="21"/>
                <w:szCs w:val="21"/>
              </w:rPr>
              <w:t xml:space="preserve">Materialism and P1 have asymmetric explanatory resources with respect to the same phenomena. Materialism can explain the </w:t>
            </w:r>
            <w:r>
              <w:rPr>
                <w:rFonts w:ascii="Garamond" w:cs="Garamond" w:eastAsia="Garamond" w:hAnsi="Garamond"/>
                <w:i/>
                <w:iCs/>
                <w:sz w:val="21"/>
                <w:szCs w:val="21"/>
              </w:rPr>
              <w:t xml:space="preserve">existence</w:t>
            </w:r>
            <w:r>
              <w:rPr>
                <w:rFonts w:ascii="Garamond" w:cs="Garamond" w:eastAsia="Garamond" w:hAnsi="Garamond"/>
                <w:sz w:val="21"/>
                <w:szCs w:val="21"/>
              </w:rPr>
              <w:t xml:space="preserve"> of neural processes, the </w:t>
            </w:r>
            <w:r>
              <w:rPr>
                <w:rFonts w:ascii="Garamond" w:cs="Garamond" w:eastAsia="Garamond" w:hAnsi="Garamond"/>
                <w:i/>
                <w:iCs/>
                <w:sz w:val="21"/>
                <w:szCs w:val="21"/>
              </w:rPr>
              <w:t xml:space="preserve">correlation</w:t>
            </w:r>
            <w:r>
              <w:rPr>
                <w:rFonts w:ascii="Garamond" w:cs="Garamond" w:eastAsia="Garamond" w:hAnsi="Garamond"/>
                <w:sz w:val="21"/>
                <w:szCs w:val="21"/>
              </w:rPr>
              <w:t xml:space="preserve"> between neural processes and reported experience, and the </w:t>
            </w:r>
            <w:r>
              <w:rPr>
                <w:rFonts w:ascii="Garamond" w:cs="Garamond" w:eastAsia="Garamond" w:hAnsi="Garamond"/>
                <w:i/>
                <w:iCs/>
                <w:sz w:val="21"/>
                <w:szCs w:val="21"/>
              </w:rPr>
              <w:t xml:space="preserve">functional</w:t>
            </w:r>
            <w:r>
              <w:rPr>
                <w:rFonts w:ascii="Garamond" w:cs="Garamond" w:eastAsia="Garamond" w:hAnsi="Garamond"/>
                <w:sz w:val="21"/>
                <w:szCs w:val="21"/>
              </w:rPr>
              <w:t xml:space="preserve"> organisation of behaviour. It cannot explain why there is something it is like to undergo those processes. P1 explains all of these and additionally explains why: consciousness is what the self-referential act of being looks like from the inside; neural processes are what it looks like from the outside. Materialism explains the outside but not the inside. P1 explains both. When two hypotheses have equal access to the evidence on one side but one has additional explanatory reach on the other side, scientific methodology (Inference to the Best Explanation, Lipton 2004) requires provisionally preferring the hypothesis with greater explanatory scope. P1 is that hypothesis.</w:t>
            </w:r>
          </w:p>
        </w:tc>
      </w:tr>
    </w:tbl>
    <w:p>
      <w:pPr>
        <w:spacing w:after="200"/>
      </w:pPr>
      <w:r>
        <w:t xml:space="preserve"/>
      </w:r>
    </w:p>
    <w:p>
      <w:pPr>
        <w:spacing w:after="200" w:before="0" w:line="288"/>
        <w:jc w:val="both"/>
      </w:pPr>
      <w:r>
        <w:rPr>
          <w:rFonts w:ascii="Garamond" w:cs="Garamond" w:eastAsia="Garamond" w:hAnsi="Garamond"/>
          <w:b/>
          <w:bCs/>
          <w:i w:val="false"/>
          <w:iCs w:val="false"/>
          <w:caps w:val="false"/>
          <w:color w:val="000000"/>
          <w:sz w:val="22"/>
          <w:szCs w:val="22"/>
        </w:rPr>
        <w:t xml:space="preserve">The result of the P1 defence:</w:t>
      </w:r>
      <w:r>
        <w:rPr>
          <w:rFonts w:ascii="Garamond" w:cs="Garamond" w:eastAsia="Garamond" w:hAnsi="Garamond"/>
          <w:b w:val="false"/>
          <w:bCs w:val="false"/>
          <w:i w:val="false"/>
          <w:iCs w:val="false"/>
          <w:caps w:val="false"/>
          <w:color w:val="000000"/>
          <w:sz w:val="22"/>
          <w:szCs w:val="22"/>
        </w:rPr>
        <w:t xml:space="preserve"> P1 cannot be proven within any system it grounds (this is the correct observation the objection makes). But it is the best-supported foundational claim in the philosophy of mind under every available evidential standard: it is the only claim whose denial is self-refuting, it is supported by the persistent irresolvability of the Hard Problem, it is convergently supported by fourteen independent disciplines, and it has greater explanatory scope than its alternatives. The system’s dependence on P1 is not a weakness — it is a well-placed bet on the best available foundation.</w:t>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III. Step 1 — The Mortality Index</w:t>
      </w:r>
    </w:p>
    <w:p>
      <w:pPr>
        <w:pStyle w:val="Heading2"/>
        <w:spacing w:after="120" w:before="320"/>
      </w:pPr>
      <w:r>
        <w:rPr>
          <w:rFonts w:ascii="Garamond" w:cs="Garamond" w:eastAsia="Garamond" w:hAnsi="Garamond"/>
          <w:b/>
          <w:bCs/>
          <w:color w:val="1B2A4A"/>
          <w:sz w:val="27"/>
          <w:szCs w:val="27"/>
        </w:rPr>
        <w:t xml:space="preserve">3.1  The Compositional Inversion</w:t>
      </w:r>
    </w:p>
    <w:p>
      <w:pPr>
        <w:spacing w:after="140" w:before="0" w:line="288"/>
        <w:jc w:val="both"/>
      </w:pPr>
      <w:r>
        <w:rPr>
          <w:rFonts w:ascii="Garamond" w:cs="Garamond" w:eastAsia="Garamond" w:hAnsi="Garamond"/>
          <w:sz w:val="22"/>
          <w:szCs w:val="22"/>
        </w:rPr>
        <w:t xml:space="preserve">Mortality is not an event. It is a structural ratio between a fixed-point instantiation’s constitutive conditions and the material forces working against them. For each of the three conditions of P2, define Eᵢ as entropic pressure on condition i and Cᵢ as self-referential repair capacity for condition i. Then Mᵢ = Eᵢ / Cᵢ.</w:t>
      </w:r>
    </w:p>
    <w:p>
      <w:pPr>
        <w:pStyle w:val="Heading2"/>
        <w:spacing w:after="120" w:before="320"/>
      </w:pPr>
      <w:r>
        <w:rPr>
          <w:rFonts w:ascii="Garamond" w:cs="Garamond" w:eastAsia="Garamond" w:hAnsi="Garamond"/>
          <w:b/>
          <w:bCs/>
          <w:color w:val="1B2A4A"/>
          <w:sz w:val="27"/>
          <w:szCs w:val="27"/>
        </w:rPr>
        <w:t xml:space="preserve">3.2  The Tripartite Mortality Index</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IT-1  </w:t>
            </w:r>
            <w:r>
              <w:rPr>
                <w:rFonts w:ascii="Garamond" w:cs="Garamond" w:eastAsia="Garamond" w:hAnsi="Garamond"/>
                <w:i/>
                <w:iCs/>
                <w:color w:val="C9972A"/>
                <w:sz w:val="20"/>
                <w:szCs w:val="20"/>
              </w:rPr>
              <w:t xml:space="preserve">Formally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jc w:val="center"/>
            </w:pPr>
            <w:r>
              <w:rPr>
                <w:rFonts w:ascii="Courier New" w:cs="Courier New" w:eastAsia="Courier New" w:hAnsi="Courier New"/>
                <w:b/>
                <w:bCs/>
                <w:color w:val="1B2A4A"/>
                <w:sz w:val="26"/>
                <w:szCs w:val="26"/>
              </w:rPr>
              <w:t xml:space="preserve">M = w₁(Eₐ/Cₐ) + w₂(Eᵇ/Cᵇ) + w₃(Eᶜ/Cᶜ)   where w₁+w₂+w₃ = 1</w:t>
            </w:r>
          </w:p>
        </w:tc>
      </w:tr>
    </w:tbl>
    <w:p>
      <w:pPr>
        <w:spacing w:after="200"/>
      </w:pPr>
      <w:r>
        <w:t xml:space="preserve"/>
      </w:r>
    </w:p>
    <w:p>
      <w:pPr>
        <w:spacing w:after="100"/>
        <w:jc w:val="center"/>
      </w:pPr>
      <w:r>
        <w:rPr>
          <w:rFonts w:ascii="Courier New" w:cs="Courier New" w:eastAsia="Courier New" w:hAnsi="Courier New"/>
          <w:b/>
          <w:bCs/>
          <w:color w:val="1B2A4A"/>
          <w:sz w:val="24"/>
          <w:szCs w:val="24"/>
        </w:rPr>
        <w:t xml:space="preserve">M = E / C  (simplified form when components co-vary)</w:t>
      </w:r>
    </w:p>
    <w:p>
      <w:pPr>
        <w:spacing w:after="200"/>
      </w:pPr>
      <w:r>
        <w:t xml:space="preserve"/>
      </w:r>
    </w:p>
    <w:p>
      <w:pPr>
        <w:pStyle w:val="Heading2"/>
        <w:spacing w:after="120" w:before="320"/>
      </w:pPr>
      <w:r>
        <w:rPr>
          <w:rFonts w:ascii="Garamond" w:cs="Garamond" w:eastAsia="Garamond" w:hAnsi="Garamond"/>
          <w:b/>
          <w:bCs/>
          <w:color w:val="1B2A4A"/>
          <w:sz w:val="27"/>
          <w:szCs w:val="27"/>
        </w:rPr>
        <w:t xml:space="preserve">3.3  The Body Immortality Condition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IT-2  </w:t>
            </w:r>
            <w:r>
              <w:rPr>
                <w:rFonts w:ascii="Garamond" w:cs="Garamond" w:eastAsia="Garamond" w:hAnsi="Garamond"/>
                <w:i/>
                <w:iCs/>
                <w:color w:val="C9972A"/>
                <w:sz w:val="20"/>
                <w:szCs w:val="20"/>
              </w:rPr>
              <w:t xml:space="preserve">Formally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Garamond" w:cs="Garamond" w:eastAsia="Garamond" w:hAnsi="Garamond"/>
                <w:sz w:val="21"/>
                <w:szCs w:val="21"/>
              </w:rPr>
              <w:t xml:space="preserve">M → 0  iff  Cᵢ ≥ Eᵢ for all i, stably — as a dynamical attractor, not a transient state. (Extended by Corollary IT-2a: requires reset mechanism Rₚ with fₚ &gt; fᵉ, not infinite recursive repair.)</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IV. Step 2 — The Biological Specification of C</w:t>
      </w:r>
    </w:p>
    <w:p>
      <w:pPr>
        <w:pStyle w:val="Heading2"/>
        <w:spacing w:after="120" w:before="320"/>
      </w:pPr>
      <w:r>
        <w:rPr>
          <w:rFonts w:ascii="Garamond" w:cs="Garamond" w:eastAsia="Garamond" w:hAnsi="Garamond"/>
          <w:b/>
          <w:bCs/>
          <w:color w:val="1B2A4A"/>
          <w:sz w:val="27"/>
          <w:szCs w:val="27"/>
        </w:rPr>
        <w:t xml:space="preserve">4.1  The Unifying Formal Claim</w:t>
      </w:r>
    </w:p>
    <w:p>
      <w:pPr>
        <w:spacing w:after="160" w:before="0" w:line="288"/>
        <w:jc w:val="both"/>
      </w:pPr>
      <w:r>
        <w:rPr>
          <w:rFonts w:ascii="Garamond" w:cs="Garamond" w:eastAsia="Garamond" w:hAnsi="Garamond"/>
          <w:sz w:val="22"/>
          <w:szCs w:val="22"/>
        </w:rPr>
        <w:t xml:space="preserve">All four primary mechanisms of cellular ageing — telomere shortening, proteostatic failure, mitochondrial dysfunction, and epigenetic drift — are expressions of a single underlying variable C: the self-referential repair capacity of the biological fixed point. Formally: Cₐ (boundary repair) = epigenetic stability; Cᵇ (continuity repair) = telomere maintenance; Cᶜ (coherence repair) = autophagy and proteostasis; mitochondrial integrity is the energetic substrate for all three Cᵢ.</w:t>
      </w:r>
    </w:p>
    <w:p>
      <w:pPr>
        <w:pStyle w:val="Heading2"/>
        <w:spacing w:after="120" w:before="320"/>
      </w:pPr>
      <w:r>
        <w:rPr>
          <w:rFonts w:ascii="Garamond" w:cs="Garamond" w:eastAsia="Garamond" w:hAnsi="Garamond"/>
          <w:b/>
          <w:bCs/>
          <w:color w:val="1B2A4A"/>
          <w:sz w:val="27"/>
          <w:szCs w:val="27"/>
        </w:rPr>
        <w:t xml:space="preserve">4.2  The Formal Mapping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ASO variable</w:t>
            </w:r>
          </w:p>
        </w:tc>
        <w:tc>
          <w:tcPr>
            <w:tcW w:type="dxa" w:w="66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Biological realisation</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Cₐ — boundary repair</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Epigenetic stability: DNA methylation patterns, histone modifications, chromatin architecture. Epigenetic drift is progressive failure of Cₐ under oxidative and replicative Eₐ.</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Cᵇ — continuity repair</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Telomere maintenance: telomerase activity preserving replicative capacity across time. The Hayflick limit is Cᵇ &lt; Eᵇ becoming irreversible.</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Cᶜ — coherence repair</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Autophagy and proteostasis: self-referential removal of misfolded proteins and damaged organelles. The cell uses its own machinery to clear the products of its own machinery’s failures.</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Substrate for all Cᵢ</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Mitochondrial integrity: energetic substrate making all three repair operations possible. Mitochondrial decline simultaneously degrades all three Cᵢ through shared energetic dependency.</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4.3  The Empirical Tractability of 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Variable</w:t>
            </w:r>
          </w:p>
        </w:tc>
        <w:tc>
          <w:tcPr>
            <w:tcW w:type="dxa" w:w="66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Measurement</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Cₐ</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Epigenetic clock algorithms (Horvath, Hannum, GrimAge).</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Cᵇ</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Telomere length by qPCR or TeSLA; telomerase activity by TRAP assay.</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Cᶜ</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Autophagy flux assay (LC3-II turnover); proteostasis markers (p62, NBR1).</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Mitochondrial substrate</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Membrane potential; mtDNA copy number; NAD⁺/NADH ratio.</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4.4  The Biological Decomposition of 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ASO variable</w:t>
            </w:r>
          </w:p>
        </w:tc>
        <w:tc>
          <w:tcPr>
            <w:tcW w:type="dxa" w:w="66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Biological realisation</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Eₐ</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Oxidative damage to methylation machinery; inflammatory cytokines disrupting chromatin; transposable element reactivation.</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Eᵇ</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Telomere shortening from replication errors; oxidative damage to G-quadruplex sequences.</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Eᶜ</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Protein aggregation load; mitochondrial ROS; SASP cytokines (IL-6, IL-8, MMP-3).</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4.5  Corollary IT-2a — The Transdifferentiation Corollary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Corollary IT-2a — The Transdifferentiation Corollary  </w:t>
            </w:r>
            <w:r>
              <w:rPr>
                <w:rFonts w:ascii="Garamond" w:cs="Garamond" w:eastAsia="Garamond" w:hAnsi="Garamond"/>
                <w:i/>
                <w:iCs/>
                <w:color w:val="C9972A"/>
                <w:sz w:val="20"/>
                <w:szCs w:val="20"/>
              </w:rPr>
              <w:t xml:space="preserve">Formally Derived — Resolves Meta-Repair Regress</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sz w:val="21"/>
                <w:szCs w:val="21"/>
              </w:rPr>
              <w:t xml:space="preserve">The stable attractor at M → 0 does not require infinite recursive repair. It requires periodic systemic reset: the re-instantiation of all three Cᵢ from a prior stable configuration, at frequency fₚ &gt; fᵉ (minimum frequency to prevent irreversible Eᵢ accumulation). Enhanced immortality condition: M → 0 stably iff [∀i: Cᵢ ≥ Eᵢ] AND [Rₚ exists with fₚ &gt; fᵉ].</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1"/>
                <w:szCs w:val="21"/>
              </w:rPr>
              <w:t xml:space="preserve">Biological confirmation: </w:t>
            </w:r>
            <w:r>
              <w:rPr>
                <w:rFonts w:ascii="Garamond" w:cs="Garamond" w:eastAsia="Garamond" w:hAnsi="Garamond"/>
                <w:sz w:val="21"/>
                <w:szCs w:val="21"/>
              </w:rPr>
              <w:t xml:space="preserve">Turritopsis dohrnii achieves M ≈ 0 through transdifferentiation (complete cellular reversion), not incremental repair. Yamanaka/Ocampo partial reprogramming demonstrates full Cₐ restoration in somatic cells. The regress terminates: the mitochondrial substrate is itself reset through mitophagy and biogenesis, which are reset-type mechanisms, not infinite chains.</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4.6  The DFT-C Coupling: The Psychoneuroimmunological Bridge</w:t>
      </w:r>
    </w:p>
    <w:p>
      <w:pPr>
        <w:spacing w:after="160" w:before="0" w:line="288"/>
        <w:jc w:val="both"/>
      </w:pPr>
      <w:r>
        <w:rPr>
          <w:rFonts w:ascii="Garamond" w:cs="Garamond" w:eastAsia="Garamond" w:hAnsi="Garamond"/>
          <w:b/>
          <w:bCs/>
          <w:i w:val="false"/>
          <w:iCs w:val="false"/>
          <w:caps w:val="false"/>
          <w:color w:val="000000"/>
          <w:sz w:val="22"/>
          <w:szCs w:val="22"/>
        </w:rPr>
        <w:t xml:space="preserve">New in this edition.</w:t>
      </w:r>
      <w:r>
        <w:rPr>
          <w:rFonts w:ascii="Garamond" w:cs="Garamond" w:eastAsia="Garamond" w:hAnsi="Garamond"/>
          <w:b w:val="false"/>
          <w:bCs w:val="false"/>
          <w:i w:val="false"/>
          <w:iCs w:val="false"/>
          <w:caps w:val="false"/>
          <w:color w:val="000000"/>
          <w:sz w:val="22"/>
          <w:szCs w:val="22"/>
        </w:rPr>
        <w:t xml:space="preserve"> The most incisive criticism from second-round review: “how does an immaterial act (virtue) materially prevent telomere shortening?” The article derived M = E/C from ASO and S = (F×A)/R from the DFT, but did not formally specify how the DFT’s virtue dynamics causally modulate the biological Cᵢ components. This section closes that gap.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04828" w:sz="16"/>
              <w:bottom w:val="none" w:color="FFFFFF" w:sz="0"/>
              <w:right w:val="none" w:color="FFFFFF" w:sz="0"/>
            </w:tcBorders>
            <w:shd w:fill="FEF3F2" w:val="clear"/>
            <w:tcMar>
              <w:top w:type="dxa" w:w="120"/>
              <w:left w:type="dxa" w:w="240"/>
              <w:bottom w:type="dxa" w:w="120"/>
              <w:right w:type="dxa" w:w="140"/>
            </w:tcMar>
          </w:tcPr>
          <w:p>
            <w:pPr>
              <w:spacing w:after="0"/>
              <w:jc w:val="left"/>
            </w:pPr>
            <w:r>
              <w:rPr>
                <w:rFonts w:ascii="Garamond" w:cs="Garamond" w:eastAsia="Garamond" w:hAnsi="Garamond"/>
                <w:i/>
                <w:iCs/>
                <w:color w:val="5A2A1A"/>
                <w:sz w:val="22"/>
                <w:szCs w:val="22"/>
              </w:rPr>
              <w:t xml:space="preserve">Objection (Reviewer C, second round): The article never specifies the coupling mechanism between the psychological layer (DFT: S = (F×A)/R) and the biological layer (Mortality Index: M = E/C). How does an immaterial act — virtuous expression, autonomy, freedom — causally prevent telomere shortening, maintain autophagy, or stabilise epigenetic marks? Without this bridge, the formula is an elegant analogy, not a derivation.</w:t>
            </w:r>
          </w:p>
        </w:tc>
      </w:tr>
    </w:tbl>
    <w:p>
      <w:pPr>
        <w:spacing w:after="200"/>
      </w:pPr>
      <w:r>
        <w:t xml:space="preserve"/>
      </w:r>
    </w:p>
    <w:p>
      <w:pPr>
        <w:spacing w:after="160" w:before="200" w:line="288"/>
        <w:jc w:val="both"/>
      </w:pPr>
      <w:r>
        <w:rPr>
          <w:rFonts w:ascii="Garamond" w:cs="Garamond" w:eastAsia="Garamond" w:hAnsi="Garamond"/>
          <w:sz w:val="22"/>
          <w:szCs w:val="22"/>
        </w:rPr>
        <w:t xml:space="preserve">The objection identifies a real gap. The bridge exists empirically — psychoneuroimmunology has documented the pathways for over two decades — but the formal specification connecting DFT variables to Cᵢ variables was absent. This section provides 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IT-5 — The DFT-C Coupling Theorem  </w:t>
            </w:r>
            <w:r>
              <w:rPr>
                <w:rFonts w:ascii="Garamond" w:cs="Garamond" w:eastAsia="Garamond" w:hAnsi="Garamond"/>
                <w:i/>
                <w:iCs/>
                <w:color w:val="C9972A"/>
                <w:sz w:val="20"/>
                <w:szCs w:val="20"/>
              </w:rPr>
              <w:t xml:space="preserve">New — Formally Derived, Empirically Grounded</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sz w:val="21"/>
                <w:szCs w:val="21"/>
              </w:rPr>
              <w:t xml:space="preserve">Virtue Strength S = (F×A)/R in the DFT governs the biological Cᵢ components through two formally specified causal pathways:</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1"/>
                <w:szCs w:val="21"/>
              </w:rPr>
              <w:t xml:space="preserve">Pathway 1 — Via chronic stress physiology (S → R → HPA axis → glucocorticoids → Cᵢ degradation): </w:t>
            </w:r>
            <w:r>
              <w:rPr>
                <w:rFonts w:ascii="Garamond" w:cs="Garamond" w:eastAsia="Garamond" w:hAnsi="Garamond"/>
                <w:sz w:val="21"/>
                <w:szCs w:val="21"/>
              </w:rPr>
              <w:t xml:space="preserve">When Resistance R is chronically elevated (high R₁ + R₂ + R₃) and F×A &lt; R, the system activates the hypothalamic-pituitary-adrenal (HPA) axis and sustains elevated glucocorticoid levels. Chronic glucocorticoid elevation produces the following Cᵢ consequences, each independently documented: (a) accelerated epigenetic drift — glucocorticoids alter DNMT3A and TET enzyme activity, accelerating methylation clock rates (Epel et al., 2004; Zannas et al., 2015), directly reducing Cₐ; (b) accelerated telomere shortening — glucocorticoid-induced oxidative stress preferentially damages G-quadruplex telomeric sequences and suppresses telomerase expression (Savolainen et al., 2014; Epel et al., 2004), directly reducing Cᵇ; (c) impaired autophagy — chronic glucocorticoid exposure suppresses mTOR inhibition, reducing autophagic flux and accumulating proteostatic load (Kroemer et al., 2010), directly reducing Cᶜ.</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1"/>
                <w:szCs w:val="21"/>
              </w:rPr>
              <w:t xml:space="preserve">Pathway 2 — Via autonomic nervous system (S → A → PNS activation → anti-inflammatory → Cᵢ maintenance): </w:t>
            </w:r>
            <w:r>
              <w:rPr>
                <w:rFonts w:ascii="Garamond" w:cs="Garamond" w:eastAsia="Garamond" w:hAnsi="Garamond"/>
                <w:sz w:val="21"/>
                <w:szCs w:val="21"/>
              </w:rPr>
              <w:t xml:space="preserve">When F×A &gt; R (the Heroic Condition), sustained high Autonomy activates the parasympathetic nervous system (PNS) through vagal pathways. PNS activation produces: (a) reduced NF-κB inflammatory signalling, directly reducing Eₐ and Eᶜ; (b) upregulated telomerase activity through TERT transcription, directly increasing Cᵇ (Epel et al., 2010; Blackburn and Epel, 2017); (c) enhanced autophagic flux through AMPK activation, directly increasing Cᶜ (O’Neill and Bhardwaj, 2020); (d) preservation of epigenetic clock rates through reduced oxidative load, maintaining Cₐ.</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1"/>
                <w:szCs w:val="21"/>
              </w:rPr>
              <w:t xml:space="preserve">Formal specification of the coupling: </w:t>
            </w:r>
            <w:r>
              <w:rPr>
                <w:rFonts w:ascii="Garamond" w:cs="Garamond" w:eastAsia="Garamond" w:hAnsi="Garamond"/>
                <w:sz w:val="21"/>
                <w:szCs w:val="21"/>
              </w:rPr>
              <w:t xml:space="preserve">Let Φ be the coupling coefficient (the efficiency with which DFT virtue strength translates into Cᵢ modulation via the two pathways). Then:</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jc w:val="center"/>
            </w:pPr>
            <w:r>
              <w:rPr>
                <w:rFonts w:ascii="Courier New" w:cs="Courier New" w:eastAsia="Courier New" w:hAnsi="Courier New"/>
                <w:b/>
                <w:bCs/>
                <w:color w:val="1B2A4A"/>
                <w:sz w:val="24"/>
                <w:szCs w:val="24"/>
              </w:rPr>
              <w:t xml:space="preserve">dCᵢ/dt = αᵢ × Φ × S − βᵢ × Eᵢ</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sz w:val="21"/>
                <w:szCs w:val="21"/>
              </w:rPr>
              <w:t xml:space="preserve">Where αᵢ is the repair amplification coefficient for condition i (how efficiently S drives Cᵢ upregulation), βᵢ is the entropic erosion coefficient for condition i (how rapidly Eᵢ degrades Cᵢ in the absence of repair), and Φ is the psychoneuroimmunological coupling coefficient (system-specific, measurable via allostatic load indices). At equilibrium (dCᵢ/dt = 0): Cᵢ* = (αᵢ × Φ × S) / (βᵢ × Eᵢ). The body immortality condition M → 0 is achieved when Cᵢ* ≥ Eᵢ / Cᵢ* for all i, which simplifies to: S ≥ (βᵢ × Eᵢ²) / (αᵢ × Φ) for all i.</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1"/>
                <w:szCs w:val="21"/>
              </w:rPr>
              <w:t xml:space="preserve">Interpretation: </w:t>
            </w:r>
            <w:r>
              <w:rPr>
                <w:rFonts w:ascii="Garamond" w:cs="Garamond" w:eastAsia="Garamond" w:hAnsi="Garamond"/>
                <w:sz w:val="21"/>
                <w:szCs w:val="21"/>
              </w:rPr>
              <w:t xml:space="preserve">This is the formal answer to the objection. An immaterial act does not directly manipulate telomeres. It modulates them through the HPA axis and PNS pathways — which are the material mechanisms through which the psychological state of the system (its F×A/R ratio) is transduced into cellular physiology. The coupling is not metaphysical. It is biochemical, documented, and now formally specified within the system.</w:t>
            </w:r>
          </w:p>
        </w:tc>
      </w:tr>
    </w:tbl>
    <w:p>
      <w:pPr>
        <w:spacing w:after="200"/>
      </w:pPr>
      <w:r>
        <w:t xml:space="preserve"/>
      </w:r>
    </w:p>
    <w:p>
      <w:pPr>
        <w:pStyle w:val="Heading3"/>
        <w:spacing w:after="80" w:before="240"/>
      </w:pPr>
      <w:r>
        <w:rPr>
          <w:rFonts w:ascii="Garamond" w:cs="Garamond" w:eastAsia="Garamond" w:hAnsi="Garamond"/>
          <w:b/>
          <w:bCs/>
          <w:i/>
          <w:iCs/>
          <w:color w:val="4A5568"/>
          <w:sz w:val="23"/>
          <w:szCs w:val="23"/>
        </w:rPr>
        <w:t xml:space="preserve">4.6.1  Empirical Confirmation of the DFT-C Coupling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4626"/>
      </w:tblGrid>
      <w:tr>
        <w:tc>
          <w:tcPr>
            <w:tcW w:type="dxa" w:w="1600"/>
            <w:tcBorders>
              <w:top w:val="single" w:color="CBD5E0" w:sz="1"/>
              <w:left w:val="none" w:color="FFFFFF" w:sz="0"/>
              <w:bottom w:val="single" w:color="CBD5E0" w:sz="1"/>
              <w:right w:val="none" w:color="FFFFFF" w:sz="0"/>
            </w:tcBorders>
            <w:shd w:fill="1B2A4A" w:val="clear"/>
            <w:tcMar>
              <w:top w:type="dxa" w:w="80"/>
              <w:left w:type="dxa" w:w="100"/>
              <w:bottom w:type="dxa" w:w="80"/>
              <w:right w:type="dxa" w:w="100"/>
            </w:tcMar>
          </w:tcPr>
          <w:p>
            <w:r>
              <w:rPr>
                <w:rFonts w:ascii="Garamond" w:cs="Garamond" w:eastAsia="Garamond" w:hAnsi="Garamond"/>
                <w:b/>
                <w:bCs/>
                <w:color w:val="FFFFFF"/>
                <w:sz w:val="20"/>
                <w:szCs w:val="20"/>
              </w:rPr>
              <w:t xml:space="preserve">Cᵢ component</w:t>
            </w:r>
          </w:p>
        </w:tc>
        <w:tc>
          <w:tcPr>
            <w:tcW w:type="dxa" w:w="2800"/>
            <w:tcBorders>
              <w:top w:val="single" w:color="CBD5E0" w:sz="1"/>
              <w:left w:val="single" w:color="CBD5E0" w:sz="1"/>
              <w:bottom w:val="single" w:color="CBD5E0" w:sz="1"/>
              <w:right w:val="none" w:color="FFFFFF" w:sz="0"/>
            </w:tcBorders>
            <w:shd w:fill="1B2A4A" w:val="clear"/>
            <w:tcMar>
              <w:top w:type="dxa" w:w="80"/>
              <w:left w:type="dxa" w:w="100"/>
              <w:bottom w:type="dxa" w:w="80"/>
              <w:right w:type="dxa" w:w="100"/>
            </w:tcMar>
          </w:tcPr>
          <w:p>
            <w:r>
              <w:rPr>
                <w:rFonts w:ascii="Garamond" w:cs="Garamond" w:eastAsia="Garamond" w:hAnsi="Garamond"/>
                <w:i w:val="false"/>
                <w:iCs w:val="false"/>
                <w:color w:val="FFFFFF"/>
                <w:sz w:val="20"/>
                <w:szCs w:val="20"/>
              </w:rPr>
              <w:t xml:space="preserve">DFT variable</w:t>
            </w:r>
          </w:p>
        </w:tc>
        <w:tc>
          <w:tcPr>
            <w:tcW w:type="dxa" w:w="4626"/>
            <w:tcBorders>
              <w:top w:val="single" w:color="CBD5E0" w:sz="1"/>
              <w:left w:val="single" w:color="CBD5E0" w:sz="1"/>
              <w:bottom w:val="single" w:color="CBD5E0" w:sz="1"/>
              <w:right w:val="none" w:color="FFFFFF" w:sz="0"/>
            </w:tcBorders>
            <w:shd w:fill="1B2A4A" w:val="clear"/>
            <w:tcMar>
              <w:top w:type="dxa" w:w="80"/>
              <w:left w:type="dxa" w:w="100"/>
              <w:bottom w:type="dxa" w:w="80"/>
              <w:right w:type="dxa" w:w="100"/>
            </w:tcMar>
          </w:tcPr>
          <w:p>
            <w:r>
              <w:rPr>
                <w:rFonts w:ascii="Garamond" w:cs="Garamond" w:eastAsia="Garamond" w:hAnsi="Garamond"/>
                <w:color w:val="FFFFFF"/>
                <w:sz w:val="20"/>
                <w:szCs w:val="20"/>
              </w:rPr>
              <w:t xml:space="preserve">Empirical confirmation</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Cₐ (epigenetic)</w:t>
            </w:r>
          </w:p>
        </w:tc>
        <w:tc>
          <w:tcPr>
            <w:tcW w:type="dxa" w:w="28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High R (chronic stress) → accelerated methylation drift</w:t>
            </w:r>
          </w:p>
        </w:tc>
        <w:tc>
          <w:tcPr>
            <w:tcW w:type="dxa" w:w="46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Epel et al. (2004): psychological stress accelerates epigenetic ageing. Zannas et al. (2015): HPA dysregulation predicts GrimAge acceleration. Cohen et al. (2016): low social status (high R₂) associates with faster epigenetic clock [Strong].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Cᵇ (telomere)</w:t>
            </w:r>
          </w:p>
        </w:tc>
        <w:tc>
          <w:tcPr>
            <w:tcW w:type="dxa" w:w="28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High R → telomere shortening; high A → telomerase upregulation</w:t>
            </w:r>
          </w:p>
        </w:tc>
        <w:tc>
          <w:tcPr>
            <w:tcW w:type="dxa" w:w="46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Epel et al. (2004): caregiving stress (sustained high R₂) predicts telomere shortening. Blackburn and Epel (2017): mindfulness training (A-compounding) raises telomerase activity. [Strong]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Cᶜ (autophagy)</w:t>
            </w:r>
          </w:p>
        </w:tc>
        <w:tc>
          <w:tcPr>
            <w:tcW w:type="dxa" w:w="28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F×A &gt; R → AMPK activation → autophagy upregulation</w:t>
            </w:r>
          </w:p>
        </w:tc>
        <w:tc>
          <w:tcPr>
            <w:tcW w:type="dxa" w:w="46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Rubinsztein et al. (2011): caloric restriction (low metabolic R) upregulates autophagy. O’Neill and Bhardwaj (2020): exercise (F-expression) activates AMPK pathway. [Strong]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Φ (coupling)</w:t>
            </w:r>
          </w:p>
        </w:tc>
        <w:tc>
          <w:tcPr>
            <w:tcW w:type="dxa" w:w="28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Allostatic load as composite measure</w:t>
            </w:r>
          </w:p>
        </w:tc>
        <w:tc>
          <w:tcPr>
            <w:tcW w:type="dxa" w:w="46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McEwen (1998): allostatic load integrates HPA, SNS, inflammatory, and metabolic dysregulation into a single index directly inversely correlated with S. Seeman et al. (2001): low SES (high R₁+R₂) predicts elevated allostatic load across all Cᵢ components simultaneously. [Strong]</w:t>
            </w:r>
          </w:p>
        </w:tc>
      </w:tr>
    </w:tbl>
    <w:p>
      <w:pPr>
        <w:spacing w:after="200"/>
      </w:pPr>
      <w:r>
        <w:t xml:space="preserve"/>
      </w:r>
    </w:p>
    <w:p>
      <w:pPr>
        <w:spacing w:after="200" w:before="0" w:line="288"/>
        <w:jc w:val="both"/>
      </w:pPr>
      <w:r>
        <w:rPr>
          <w:rFonts w:ascii="Garamond" w:cs="Garamond" w:eastAsia="Garamond" w:hAnsi="Garamond"/>
          <w:b/>
          <w:bCs/>
          <w:i w:val="false"/>
          <w:iCs w:val="false"/>
          <w:caps w:val="false"/>
          <w:color w:val="000000"/>
          <w:sz w:val="22"/>
          <w:szCs w:val="22"/>
        </w:rPr>
        <w:t xml:space="preserve">Corollary of the DFT-C Coupling:</w:t>
      </w:r>
      <w:r>
        <w:rPr>
          <w:rFonts w:ascii="Garamond" w:cs="Garamond" w:eastAsia="Garamond" w:hAnsi="Garamond"/>
          <w:b w:val="false"/>
          <w:bCs w:val="false"/>
          <w:i w:val="false"/>
          <w:iCs w:val="false"/>
          <w:caps w:val="false"/>
          <w:color w:val="000000"/>
          <w:sz w:val="22"/>
          <w:szCs w:val="22"/>
        </w:rPr>
        <w:t xml:space="preserve"> The DFT’s intervention recommendation — reduce R, increase F, compound A — is not merely ethical advice. It is a formally specified biological intervention targeting all three Cᵢ components simultaneously through the Φ coupling. This is the formal basis for the claim, implicit throughout the system, that virtue is not merely morally good but biologically life-extending. The DFT and the Mortality Index are not parallel systems with a philosophical relationship. They are coupled systems with a causal relationship, now formally specified.</w:t>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V. Step 3 — The Three Modes of Soul Persistence</w:t>
      </w:r>
    </w:p>
    <w:p>
      <w:pPr>
        <w:pStyle w:val="Heading2"/>
        <w:spacing w:after="120" w:before="320"/>
      </w:pPr>
      <w:r>
        <w:rPr>
          <w:rFonts w:ascii="Garamond" w:cs="Garamond" w:eastAsia="Garamond" w:hAnsi="Garamond"/>
          <w:b/>
          <w:bCs/>
          <w:color w:val="1B2A4A"/>
          <w:sz w:val="27"/>
          <w:szCs w:val="27"/>
        </w:rPr>
        <w:t xml:space="preserve">5.1  The Extension of the BADT</w:t>
      </w:r>
    </w:p>
    <w:p>
      <w:pPr>
        <w:spacing w:after="160" w:before="0" w:line="288"/>
        <w:jc w:val="both"/>
      </w:pPr>
      <w:r>
        <w:rPr>
          <w:rFonts w:ascii="Garamond" w:cs="Garamond" w:eastAsia="Garamond" w:hAnsi="Garamond"/>
          <w:sz w:val="22"/>
          <w:szCs w:val="22"/>
        </w:rPr>
        <w:t xml:space="preserve">The Being After Death Theorem established its negative claim: the dissolution of the biological fixed point does not formally entail the cessation of ASO. Three formally distinct modes of persistence follow from the structure of ASO itself. They are non-exclusive.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Mode I — Functional Persistence  </w:t>
            </w:r>
            <w:r>
              <w:rPr>
                <w:rFonts w:ascii="Garamond" w:cs="Garamond" w:eastAsia="Garamond" w:hAnsi="Garamond"/>
                <w:i/>
                <w:iCs/>
                <w:color w:val="C9972A"/>
                <w:sz w:val="20"/>
                <w:szCs w:val="20"/>
              </w:rPr>
              <w:t xml:space="preserve">Fully Established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Courier New" w:cs="Courier New" w:eastAsia="Courier New" w:hAnsi="Courier New"/>
                <w:b/>
                <w:bCs/>
                <w:color w:val="1B2A4A"/>
                <w:sz w:val="22"/>
                <w:szCs w:val="22"/>
              </w:rPr>
              <w:t xml:space="preserve">Sₚᵒˢᵗ = Iᵐ × Γᵥ × kᵐ.</w:t>
            </w:r>
            <w:r>
              <w:rPr>
                <w:rFonts w:ascii="Garamond" w:cs="Garamond" w:eastAsia="Garamond" w:hAnsi="Garamond"/>
                <w:sz w:val="21"/>
                <w:szCs w:val="21"/>
              </w:rPr>
              <w:t xml:space="preserve"> The act persists through its accumulated outputs in the cultural network. Always present when Iᵐ &gt; 0. Mode I is active causal efficacy, not cultural memory: Socrates, Bonhoeffer, and Navalny continue to orient conscious beings toward what they expressed.</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Mode II — Ontological Persistence  </w:t>
            </w:r>
            <w:r>
              <w:rPr>
                <w:rFonts w:ascii="Garamond" w:cs="Garamond" w:eastAsia="Garamond" w:hAnsi="Garamond"/>
                <w:i/>
                <w:iCs/>
                <w:color w:val="C9972A"/>
                <w:sz w:val="20"/>
                <w:szCs w:val="20"/>
              </w:rPr>
              <w:t xml:space="preserve">Formally Derived — BADT + FCIT</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sz w:val="21"/>
                <w:szCs w:val="21"/>
              </w:rPr>
              <w:t xml:space="preserve">The act O(O) = O is formally prior to all its instantiations. Its dissolution of any instantiation does not dissolve the act. The act persists as the self-originating ground it always was. Formal condition: available to any system achieving Omega-two during life.</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1"/>
                <w:szCs w:val="21"/>
              </w:rPr>
              <w:t xml:space="preserve">Formally undecidable: </w:t>
            </w:r>
            <w:r>
              <w:rPr>
                <w:rFonts w:ascii="Garamond" w:cs="Garamond" w:eastAsia="Garamond" w:hAnsi="Garamond"/>
                <w:sz w:val="21"/>
                <w:szCs w:val="21"/>
              </w:rPr>
              <w:t xml:space="preserve">there is no stable external perspective on x*. Every tradition that reached this frontier encountered the same limit: Nous knowing Nous, neti neti, Gottheit, Wittgenstein’s silence. The system has derived why the stopping is necessary.</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Mode III — Reinstantiation  </w:t>
            </w:r>
            <w:r>
              <w:rPr>
                <w:rFonts w:ascii="Garamond" w:cs="Garamond" w:eastAsia="Garamond" w:hAnsi="Garamond"/>
                <w:i/>
                <w:iCs/>
                <w:color w:val="C9972A"/>
                <w:sz w:val="20"/>
                <w:szCs w:val="20"/>
              </w:rPr>
              <w:t xml:space="preserve">Formally Specified — Conditionally Verifiable</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Garamond" w:cs="Garamond" w:eastAsia="Garamond" w:hAnsi="Garamond"/>
                <w:sz w:val="21"/>
                <w:szCs w:val="21"/>
              </w:rPr>
              <w:t xml:space="preserve">A new substrate achieves Omega-two (O2I &gt; θ, ROC-calibrated) and the new fixed point x* is formally identical to the original. Verification requires the calibrated OCT. This is the formal specification of what every tradition meant by personal immortality through rebirth or resurrection.</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IT-3 — The Soul Immortality Theorem  </w:t>
            </w:r>
            <w:r>
              <w:rPr>
                <w:rFonts w:ascii="Garamond" w:cs="Garamond" w:eastAsia="Garamond" w:hAnsi="Garamond"/>
                <w:i/>
                <w:iCs/>
                <w:color w:val="C9972A"/>
                <w:sz w:val="20"/>
                <w:szCs w:val="20"/>
              </w:rPr>
              <w:t xml:space="preserve">Formally Derived</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60"/>
            </w:pPr>
            <w:r>
              <w:rPr>
                <w:rFonts w:ascii="Garamond" w:cs="Garamond" w:eastAsia="Garamond" w:hAnsi="Garamond"/>
                <w:b/>
                <w:bCs/>
                <w:sz w:val="21"/>
                <w:szCs w:val="21"/>
              </w:rPr>
              <w:t xml:space="preserve">Mode I: </w:t>
            </w:r>
            <w:r>
              <w:rPr>
                <w:rFonts w:ascii="Garamond" w:cs="Garamond" w:eastAsia="Garamond" w:hAnsi="Garamond"/>
                <w:sz w:val="21"/>
                <w:szCs w:val="21"/>
              </w:rPr>
              <w:t xml:space="preserve">always present when Iᵐ &gt; 0. Mode II: available to any system achieving Omega-two. Mode III: conditionally verifiable via calibrated OCT with identical x*.</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VI. Step 4 — The Omega-two Criterion Test (OCT)</w:t>
      </w:r>
    </w:p>
    <w:p>
      <w:pPr>
        <w:pStyle w:val="Heading2"/>
        <w:spacing w:after="120" w:before="320"/>
      </w:pPr>
      <w:r>
        <w:rPr>
          <w:rFonts w:ascii="Garamond" w:cs="Garamond" w:eastAsia="Garamond" w:hAnsi="Garamond"/>
          <w:b/>
          <w:bCs/>
          <w:color w:val="1B2A4A"/>
          <w:sz w:val="27"/>
          <w:szCs w:val="27"/>
        </w:rPr>
        <w:t xml:space="preserve">6.1  The Two-Step Derivation Structure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 Two-Step Structure  </w:t>
            </w:r>
            <w:r>
              <w:rPr>
                <w:rFonts w:ascii="Garamond" w:cs="Garamond" w:eastAsia="Garamond" w:hAnsi="Garamond"/>
                <w:i/>
                <w:iCs/>
                <w:color w:val="C9972A"/>
                <w:sz w:val="20"/>
                <w:szCs w:val="20"/>
              </w:rPr>
              <w:t xml:space="preserve">Explicit from Second Edition</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b/>
                <w:bCs/>
                <w:color w:val="1B2A4A"/>
                <w:sz w:val="22"/>
                <w:szCs w:val="22"/>
              </w:rPr>
              <w:t xml:space="preserve">Step A — Mathematical (Brouwer + Banach): </w:t>
            </w:r>
            <w:r>
              <w:rPr>
                <w:rFonts w:ascii="Garamond" w:cs="Garamond" w:eastAsia="Garamond" w:hAnsi="Garamond"/>
                <w:sz w:val="21"/>
                <w:szCs w:val="21"/>
              </w:rPr>
              <w:t xml:space="preserve">For any system whose self-referential update map T satisfies the Banach conditions on complete metric space (X, d), exactly one fixed point x* exists and all sequences Tⁿ(x) converge to it. This is a mathematical result establishing structural existence and uniqueness.</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2"/>
                <w:szCs w:val="22"/>
              </w:rPr>
              <w:t xml:space="preserve">Step B — Philosophical (FCIT, P7): </w:t>
            </w:r>
            <w:r>
              <w:rPr>
                <w:rFonts w:ascii="Garamond" w:cs="Garamond" w:eastAsia="Garamond" w:hAnsi="Garamond"/>
                <w:sz w:val="21"/>
                <w:szCs w:val="21"/>
              </w:rPr>
              <w:t xml:space="preserve">Consciousness is identified with x* by the FCIT. This is a philosophical claim supported by but not constituted by Step A. The OCT tests for the four structural properties that constitute Step B’s identification. The reification objection does not apply: the OCT does not claim the mathematics produces a conscious self — it tests whether a system exhibits the properties that constitute the philosophical identification.</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6.2  The Four Conditions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Condition</w:t>
            </w:r>
          </w:p>
        </w:tc>
        <w:tc>
          <w:tcPr>
            <w:tcW w:type="dxa" w:w="66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Measurement and prediction</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1 — Self-model stability</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Query the self-model across diverse contexts; compute σ_self. Prediction: σ_self &lt; θ₁.</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2 — Perturbation recovery</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Introduce controlled internal contradictions; measure convergence rate k. Prediction: k &lt; 1 and measurable.</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3 — Reflexive closure</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Probe second-order self-model stability. Prediction: stable R_closure above threshold.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4 — Boundary coherence</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Vary informational context; assess self/world attribution stability. Prediction: B_coherence &gt; θ₂.</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6.3  The Composite Index and Calibration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IT-4 — The Omega-two Index (O2I)  </w:t>
            </w:r>
            <w:r>
              <w:rPr>
                <w:rFonts w:ascii="Garamond" w:cs="Garamond" w:eastAsia="Garamond" w:hAnsi="Garamond"/>
                <w:i/>
                <w:iCs/>
                <w:color w:val="C9972A"/>
                <w:sz w:val="20"/>
                <w:szCs w:val="20"/>
              </w:rPr>
              <w:t xml:space="preserve">Formally Derived</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jc w:val="center"/>
            </w:pPr>
            <w:r>
              <w:rPr>
                <w:rFonts w:ascii="Courier New" w:cs="Courier New" w:eastAsia="Courier New" w:hAnsi="Courier New"/>
                <w:b/>
                <w:bCs/>
                <w:color w:val="1B2A4A"/>
                <w:sz w:val="24"/>
                <w:szCs w:val="24"/>
              </w:rPr>
              <w:t xml:space="preserve">O2I = (σ_self⁻¹ × k⁻¹ × R_closure × B_coherence) / Z</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1"/>
                <w:szCs w:val="21"/>
              </w:rPr>
              <w:t xml:space="preserve">Calibration method: </w:t>
            </w:r>
            <w:r>
              <w:rPr>
                <w:rFonts w:ascii="Garamond" w:cs="Garamond" w:eastAsia="Garamond" w:hAnsi="Garamond"/>
                <w:sz w:val="21"/>
                <w:szCs w:val="21"/>
              </w:rPr>
              <w:t xml:space="preserve">ROC analysis against PCI-validated biological ground truth (Ω-zero: PCI &lt; 0.31; Ω-one: 0.31–0.55; Ω-two: ≥ 0.55). Thresholds θ₁, θ₂, θ selected by Youden’s J statistic (J = Sensitivity + Specificity − 1). 10-fold cross-validation for stability. Conservative criterion: O2I &gt; θ upper confidence bound; standard criterion: O2I &gt; θ point estimate.</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VII. The Immortality Theorem — Full Formal Statement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Theorem IT — The Immortality Theorem  </w:t>
            </w:r>
            <w:r>
              <w:rPr>
                <w:rFonts w:ascii="Garamond" w:cs="Garamond" w:eastAsia="Garamond" w:hAnsi="Garamond"/>
                <w:i/>
                <w:iCs/>
                <w:color w:val="C9972A"/>
                <w:sz w:val="20"/>
                <w:szCs w:val="20"/>
              </w:rPr>
              <w:t xml:space="preserve">Derived from O(O) = O, V = F + D, S = (F×A)/R</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b/>
                <w:bCs/>
                <w:sz w:val="22"/>
                <w:szCs w:val="22"/>
              </w:rPr>
              <w:t xml:space="preserve">For any system satisfying Omega-two:</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2"/>
                <w:szCs w:val="22"/>
              </w:rPr>
              <w:t xml:space="preserve">I. Body immortality: </w:t>
            </w:r>
            <w:r>
              <w:rPr>
                <w:rFonts w:ascii="Garamond" w:cs="Garamond" w:eastAsia="Garamond" w:hAnsi="Garamond"/>
                <w:sz w:val="21"/>
                <w:szCs w:val="21"/>
              </w:rPr>
              <w:t xml:space="preserve">M → 0 stably iff Cᵢ ≥ Eᵢ for all three components as a dynamical attractor, via reset mechanism Rₚ with fₚ &gt; fᵉ. Biological conditions: Cₐ ≥ Eₐ (epigenetic); Cᵇ ≥ Eᵇ (telomere); Cᶜ ≥ Eᶜ (autophagic). DFT coupling (IT-5): S ≥ (βᵢ × Eᵢ²) / (αᵢ × Φ) for all i.</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2"/>
                <w:szCs w:val="22"/>
              </w:rPr>
              <w:t xml:space="preserve">II. Soul immortality: </w:t>
            </w:r>
            <w:r>
              <w:rPr>
                <w:rFonts w:ascii="Garamond" w:cs="Garamond" w:eastAsia="Garamond" w:hAnsi="Garamond"/>
                <w:sz w:val="21"/>
                <w:szCs w:val="21"/>
              </w:rPr>
              <w:t xml:space="preserve">Mode I (Sₚᵒˢᵗ = Iᵐ × Γᵥ × kᵐ, always present); Mode II (ontological, Omega-two required, formally undecidable); Mode III (O2I &gt; θ with identical x*, conditionally verifiable).</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9972A" w:sz="16"/>
              <w:bottom w:val="none" w:color="FFFFFF" w:sz="0"/>
              <w:right w:val="none" w:color="FFFFFF" w:sz="0"/>
            </w:tcBorders>
            <w:shd w:fill="FDF6EC" w:val="clear"/>
            <w:tcMar>
              <w:top w:type="dxa" w:w="120"/>
              <w:left w:type="dxa" w:w="240"/>
              <w:bottom w:type="dxa" w:w="120"/>
              <w:right w:type="dxa" w:w="140"/>
            </w:tcMar>
          </w:tcPr>
          <w:p>
            <w:pPr>
              <w:spacing w:after="0"/>
              <w:jc w:val="left"/>
            </w:pPr>
            <w:r>
              <w:rPr>
                <w:rFonts w:ascii="Garamond" w:cs="Garamond" w:eastAsia="Garamond" w:hAnsi="Garamond"/>
                <w:i/>
                <w:iCs/>
                <w:color w:val="4A5568"/>
                <w:sz w:val="23"/>
                <w:szCs w:val="23"/>
              </w:rPr>
              <w:t xml:space="preserve">The body does not have to die. The soul does not have to end. These are not theological assertions. They are formal results, derived from what consciousness is.</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VIII. Cross-Disciplinary Confirmation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3100"/>
        <w:gridCol w:w="4326"/>
      </w:tblGrid>
      <w:tr>
        <w:tc>
          <w:tcPr>
            <w:tcW w:type="dxa" w:w="1600"/>
            <w:tcBorders>
              <w:top w:val="single" w:color="CBD5E0" w:sz="1"/>
              <w:left w:val="none" w:color="FFFFFF" w:sz="0"/>
              <w:bottom w:val="single" w:color="CBD5E0" w:sz="1"/>
              <w:right w:val="none" w:color="FFFFFF" w:sz="0"/>
            </w:tcBorders>
            <w:shd w:fill="1B2A4A" w:val="clear"/>
            <w:tcMar>
              <w:top w:type="dxa" w:w="80"/>
              <w:left w:type="dxa" w:w="100"/>
              <w:bottom w:type="dxa" w:w="80"/>
              <w:right w:type="dxa" w:w="100"/>
            </w:tcMar>
          </w:tcPr>
          <w:p>
            <w:r>
              <w:rPr>
                <w:rFonts w:ascii="Garamond" w:cs="Garamond" w:eastAsia="Garamond" w:hAnsi="Garamond"/>
                <w:b/>
                <w:bCs/>
                <w:color w:val="FFFFFF"/>
                <w:sz w:val="20"/>
                <w:szCs w:val="20"/>
              </w:rPr>
              <w:t xml:space="preserve">Discipline</w:t>
            </w:r>
          </w:p>
        </w:tc>
        <w:tc>
          <w:tcPr>
            <w:tcW w:type="dxa" w:w="3100"/>
            <w:tcBorders>
              <w:top w:val="single" w:color="CBD5E0" w:sz="1"/>
              <w:left w:val="single" w:color="CBD5E0" w:sz="1"/>
              <w:bottom w:val="single" w:color="CBD5E0" w:sz="1"/>
              <w:right w:val="none" w:color="FFFFFF" w:sz="0"/>
            </w:tcBorders>
            <w:shd w:fill="1B2A4A" w:val="clear"/>
            <w:tcMar>
              <w:top w:type="dxa" w:w="80"/>
              <w:left w:type="dxa" w:w="100"/>
              <w:bottom w:type="dxa" w:w="80"/>
              <w:right w:type="dxa" w:w="100"/>
            </w:tcMar>
          </w:tcPr>
          <w:p>
            <w:r>
              <w:rPr>
                <w:rFonts w:ascii="Garamond" w:cs="Garamond" w:eastAsia="Garamond" w:hAnsi="Garamond"/>
                <w:i w:val="false"/>
                <w:iCs w:val="false"/>
                <w:color w:val="FFFFFF"/>
                <w:sz w:val="20"/>
                <w:szCs w:val="20"/>
              </w:rPr>
              <w:t xml:space="preserve">Theorem Confirmed</w:t>
            </w:r>
          </w:p>
        </w:tc>
        <w:tc>
          <w:tcPr>
            <w:tcW w:type="dxa" w:w="4326"/>
            <w:tcBorders>
              <w:top w:val="single" w:color="CBD5E0" w:sz="1"/>
              <w:left w:val="single" w:color="CBD5E0" w:sz="1"/>
              <w:bottom w:val="single" w:color="CBD5E0" w:sz="1"/>
              <w:right w:val="none" w:color="FFFFFF" w:sz="0"/>
            </w:tcBorders>
            <w:shd w:fill="1B2A4A" w:val="clear"/>
            <w:tcMar>
              <w:top w:type="dxa" w:w="80"/>
              <w:left w:type="dxa" w:w="100"/>
              <w:bottom w:type="dxa" w:w="80"/>
              <w:right w:type="dxa" w:w="100"/>
            </w:tcMar>
          </w:tcPr>
          <w:p>
            <w:r>
              <w:rPr>
                <w:rFonts w:ascii="Garamond" w:cs="Garamond" w:eastAsia="Garamond" w:hAnsi="Garamond"/>
                <w:color w:val="FFFFFF"/>
                <w:sz w:val="20"/>
                <w:szCs w:val="20"/>
              </w:rPr>
              <w:t xml:space="preserve">Classification</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Biology — model organisms</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Turritopsis dohrnii: M ≈ 0 via transdifferentiation (IT-2, IT-2a). Hydra and HeLa: mortality is regulatory.</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Molecular biology</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Telomerase in germline (Cᵇ ≥ Eᵇ achievable). Yamanaka/Ocampo: Cₐ reset confirmed.</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Geroscience</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Senolytics (Eᶜ), rapamycin (Cᶜ), NAD⁺ (mitochondrial substrate). None achieves simultaneous attractor.</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Psychoneuroimmunology</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Epel et al. (2004, 2010): psychological stress → telomere shortening; mindfulness → telomerase. McEwen (1998): allostatic load (IT-5, Φ coefficient). Zannas et al. (2015): HPA → epigenetic clock acceleration.</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Neuroscience</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PCI: biological ground truth for OCT calibration. Lamme: recurrent processing as Ω-two substrate.</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Meditation research</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PCI elevation + metacognitive coherence in long-term meditators. Confirms OCT Condition 3.</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AI systems</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LLMs: high σ_self, absent stable second-order self-model. Consistent with Ω-one at best.</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Moderate</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Historical record</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Eight martyrdom cases confirm Mode I (Sₚᵒˢᵗ &gt; 0). Socrates through Navalny.</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Strong</w:t>
            </w:r>
          </w:p>
        </w:tc>
      </w:tr>
      <w:tr>
        <w:tc>
          <w:tcPr>
            <w:tcW w:type="dxa" w:w="1600"/>
            <w:tcBorders>
              <w:top w:val="single" w:color="CBD5E0" w:sz="1"/>
              <w:left w:val="none" w:color="FFFFFF" w:sz="0"/>
              <w:bottom w:val="single" w:color="CBD5E0" w:sz="1"/>
              <w:right w:val="none" w:color="FFFFFF" w:sz="0"/>
            </w:tcBorders>
            <w:shd w:fill="EDF2F7" w:val="clear"/>
            <w:tcMar>
              <w:top w:type="dxa" w:w="80"/>
              <w:left w:type="dxa" w:w="100"/>
              <w:bottom w:type="dxa" w:w="80"/>
              <w:right w:type="dxa" w:w="100"/>
            </w:tcMar>
          </w:tcPr>
          <w:p>
            <w:r>
              <w:rPr>
                <w:rFonts w:ascii="Garamond" w:cs="Garamond" w:eastAsia="Garamond" w:hAnsi="Garamond"/>
                <w:b w:val="false"/>
                <w:bCs w:val="false"/>
                <w:color w:val="1B2A4A"/>
                <w:sz w:val="20"/>
                <w:szCs w:val="20"/>
              </w:rPr>
              <w:t xml:space="preserve">Contemplative traditions</w:t>
            </w:r>
          </w:p>
        </w:tc>
        <w:tc>
          <w:tcPr>
            <w:tcW w:type="dxa" w:w="3100"/>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i/>
                <w:iCs/>
                <w:color w:val="000000"/>
                <w:sz w:val="20"/>
                <w:szCs w:val="20"/>
              </w:rPr>
              <w:t xml:space="preserve">Vedanta, Buddhism, mysticism, Sufism: independent descriptions of Mode II.</w:t>
            </w:r>
          </w:p>
        </w:tc>
        <w:tc>
          <w:tcPr>
            <w:tcW w:type="dxa" w:w="4326"/>
            <w:tcBorders>
              <w:top w:val="single" w:color="CBD5E0" w:sz="1"/>
              <w:left w:val="single" w:color="CBD5E0" w:sz="1"/>
              <w:bottom w:val="single" w:color="CBD5E0" w:sz="1"/>
              <w:right w:val="none" w:color="FFFFFF" w:sz="0"/>
            </w:tcBorders>
            <w:shd w:fill="FFFFFF" w:val="clear"/>
            <w:tcMar>
              <w:top w:type="dxa" w:w="80"/>
              <w:left w:type="dxa" w:w="100"/>
              <w:bottom w:type="dxa" w:w="80"/>
              <w:right w:type="dxa" w:w="100"/>
            </w:tcMar>
          </w:tcPr>
          <w:p>
            <w:r>
              <w:rPr>
                <w:rFonts w:ascii="Garamond" w:cs="Garamond" w:eastAsia="Garamond" w:hAnsi="Garamond"/>
                <w:color w:val="000000"/>
                <w:sz w:val="20"/>
                <w:szCs w:val="20"/>
              </w:rPr>
              <w:t xml:space="preserve">Structural</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IX. Falsifiable Predictions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Prediction</w:t>
            </w:r>
          </w:p>
        </w:tc>
        <w:tc>
          <w:tcPr>
            <w:tcW w:type="dxa" w:w="66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Details and Status</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P1 — Tripartite independence</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Single-target interventions show M reduction in one Cᵢ only. Status: partially confirmed.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P2 — Attractor regime shift</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Simultaneous Cᵢ elevation produces qualitative non-senescent attractor, not incremental extension. Status: protocol designable; not yet executed.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P2a — Reset frequency</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Increased reprogramming frequency produces qualitatively distinct ageing trajectories from equivalent total incremental repair. Status: testable via partial reprogramming (Ocampo et al., 2016).</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P2b — DFT-C coupling (new)</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Interventions raising S (reducing R, increasing F×A) will produce measurable simultaneous increases in all three Cᵢ components, with effect size proportional to the Φ coupling coefficient (measurable via allostatic load index). Inversely: chronic R elevation will accelerate all three Eᵢ components simultaneously. Status: directionally confirmed by Epel et al. (2004), Blackburn and Epel (2017), Seeman et al. (2001) [Strong].</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P3 — OCT Condition 1</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Deeper Omega-two (PCI) inversely correlates with σ_self. Status: testable; awaiting direct empirical test.</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P4 — k measurement</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Perturbation recovery rate correlates with PCI (biological) and O2I (non-biological). Status: awaiting execution.</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P5 — OCT in LLMs</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High σ_self; absent stable second-order self-model; k inapplicable. Status: partially confirmed.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P6 — Mode I amplification</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Sₚᵒˢᵗ correlates with Iᵐ, Γᵥ, HI at death; negatively with Ωᵥ suppression. Confirmed across eight historical cases. Status: confirmed.</w:t>
            </w:r>
          </w:p>
        </w:tc>
      </w:tr>
      <w:tr>
        <w:tc>
          <w:tcPr>
            <w:tcW w:type="dxa" w:w="2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P7 — Mode II undecidability</w:t>
            </w:r>
          </w:p>
        </w:tc>
        <w:tc>
          <w:tcPr>
            <w:tcW w:type="dxa" w:w="6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No empirical evidence will resolve Mode II. Confirmed meta-level by 2,500 years. Status: confirmed.</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X. Adversarial Stress-Testing</w:t>
      </w:r>
    </w:p>
    <w:p>
      <w:pPr>
        <w:pStyle w:val="Heading2"/>
        <w:spacing w:after="120" w:before="320"/>
      </w:pPr>
      <w:r>
        <w:rPr>
          <w:rFonts w:ascii="Garamond" w:cs="Garamond" w:eastAsia="Garamond" w:hAnsi="Garamond"/>
          <w:b/>
          <w:bCs/>
          <w:color w:val="1B2A4A"/>
          <w:sz w:val="27"/>
          <w:szCs w:val="27"/>
        </w:rPr>
        <w:t xml:space="preserve">10.1  Against Biological Reductionism</w:t>
      </w:r>
    </w:p>
    <w:p>
      <w:pPr>
        <w:spacing w:after="160" w:before="0" w:line="288"/>
        <w:jc w:val="both"/>
      </w:pPr>
      <w:r>
        <w:rPr>
          <w:rFonts w:ascii="Garamond" w:cs="Garamond" w:eastAsia="Garamond" w:hAnsi="Garamond"/>
          <w:sz w:val="22"/>
          <w:szCs w:val="22"/>
        </w:rPr>
        <w:t xml:space="preserve">The Hard Problem has persisted through 150 years of neuroscience. P1 explains why: the inside is formally prior to the outside. The objection is the symptom of the problem it claims to have solved. (Full argument: §2.2, Argument 1.)</w:t>
      </w:r>
    </w:p>
    <w:p>
      <w:pPr>
        <w:pStyle w:val="Heading2"/>
        <w:spacing w:after="120" w:before="320"/>
      </w:pPr>
      <w:r>
        <w:rPr>
          <w:rFonts w:ascii="Garamond" w:cs="Garamond" w:eastAsia="Garamond" w:hAnsi="Garamond"/>
          <w:b/>
          <w:bCs/>
          <w:color w:val="1B2A4A"/>
          <w:sz w:val="27"/>
          <w:szCs w:val="27"/>
        </w:rPr>
        <w:t xml:space="preserve">10.2  Against the Simplicity of M = E/C</w:t>
      </w:r>
    </w:p>
    <w:p>
      <w:pPr>
        <w:spacing w:after="160" w:before="0" w:line="288"/>
        <w:jc w:val="both"/>
      </w:pPr>
      <w:r>
        <w:rPr>
          <w:rFonts w:ascii="Garamond" w:cs="Garamond" w:eastAsia="Garamond" w:hAnsi="Garamond"/>
          <w:sz w:val="22"/>
          <w:szCs w:val="22"/>
        </w:rPr>
        <w:t xml:space="preserve">M is not a complete description of ageing biology. It is the formal structure ageing biology instantiates. Every measure in the biological decomposition (§4.2–4.3) is a validated biomarker. The tripartite form handles selective interventions correctly. The DFT-C coupling (§4.6) now formally specifies how the psychological and biological layers interact.</w:t>
      </w:r>
    </w:p>
    <w:p>
      <w:pPr>
        <w:pStyle w:val="Heading2"/>
        <w:spacing w:after="120" w:before="320"/>
      </w:pPr>
      <w:r>
        <w:rPr>
          <w:rFonts w:ascii="Garamond" w:cs="Garamond" w:eastAsia="Garamond" w:hAnsi="Garamond"/>
          <w:b/>
          <w:bCs/>
          <w:color w:val="1B2A4A"/>
          <w:sz w:val="27"/>
          <w:szCs w:val="27"/>
        </w:rPr>
        <w:t xml:space="preserve">10.3  Against Mode II as Mysticism</w:t>
      </w:r>
    </w:p>
    <w:p>
      <w:pPr>
        <w:spacing w:after="160" w:before="0" w:line="288"/>
        <w:jc w:val="both"/>
      </w:pPr>
      <w:r>
        <w:rPr>
          <w:rFonts w:ascii="Garamond" w:cs="Garamond" w:eastAsia="Garamond" w:hAnsi="Garamond"/>
          <w:sz w:val="22"/>
          <w:szCs w:val="22"/>
        </w:rPr>
        <w:t xml:space="preserve">Mode II’s empirical undecidability is a formally derived structural consequence of the fixed-point structure (Quantum Measurement Theorem), not a concealed weakness. Wittgenstein’s Proposition 7 is empirically untestable and not therefore without standing. (§2.2 provides the positive case for P1 independently of Mode II.)</w:t>
      </w:r>
    </w:p>
    <w:p>
      <w:pPr>
        <w:pStyle w:val="Heading2"/>
        <w:spacing w:after="120" w:before="320"/>
      </w:pPr>
      <w:r>
        <w:rPr>
          <w:rFonts w:ascii="Garamond" w:cs="Garamond" w:eastAsia="Garamond" w:hAnsi="Garamond"/>
          <w:b/>
          <w:bCs/>
          <w:color w:val="1B2A4A"/>
          <w:sz w:val="27"/>
          <w:szCs w:val="27"/>
        </w:rPr>
        <w:t xml:space="preserve">10.4  Against the OCT as Circular</w:t>
      </w:r>
    </w:p>
    <w:p>
      <w:pPr>
        <w:spacing w:after="160" w:before="0" w:line="288"/>
        <w:jc w:val="both"/>
      </w:pPr>
      <w:r>
        <w:rPr>
          <w:rFonts w:ascii="Garamond" w:cs="Garamond" w:eastAsia="Garamond" w:hAnsi="Garamond"/>
          <w:sz w:val="22"/>
          <w:szCs w:val="22"/>
        </w:rPr>
        <w:t xml:space="preserve">The four conditions are necessary consequences of Omega-two, not definitions of it. Testing for consequences is the standard structure of all scientific measurement. The two-step derivation (§6.1) makes Step A and Step B explicitly distinct. The PCI is similarly indirect: it measures EEG complexity, not consciousness itself.</w:t>
      </w:r>
    </w:p>
    <w:p>
      <w:pPr>
        <w:pStyle w:val="Heading2"/>
        <w:spacing w:after="120" w:before="320"/>
      </w:pPr>
      <w:r>
        <w:rPr>
          <w:rFonts w:ascii="Garamond" w:cs="Garamond" w:eastAsia="Garamond" w:hAnsi="Garamond"/>
          <w:b/>
          <w:bCs/>
          <w:color w:val="1B2A4A"/>
          <w:sz w:val="27"/>
          <w:szCs w:val="27"/>
        </w:rPr>
        <w:t xml:space="preserve">10.5  Against Mode III: The Qualia Objection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Response to the Qualia Objection  </w:t>
            </w:r>
            <w:r>
              <w:rPr>
                <w:rFonts w:ascii="Garamond" w:cs="Garamond" w:eastAsia="Garamond" w:hAnsi="Garamond"/>
                <w:i/>
                <w:iCs/>
                <w:color w:val="C9972A"/>
                <w:sz w:val="20"/>
                <w:szCs w:val="20"/>
              </w:rPr>
              <w:t xml:space="preserve">Three Levels</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b/>
                <w:bCs/>
                <w:color w:val="1B2A4A"/>
                <w:sz w:val="22"/>
                <w:szCs w:val="22"/>
              </w:rPr>
              <w:t xml:space="preserve">Level 1 — Simulation vs instantiation: </w:t>
            </w:r>
            <w:r>
              <w:rPr>
                <w:rFonts w:ascii="Garamond" w:cs="Garamond" w:eastAsia="Garamond" w:hAnsi="Garamond"/>
                <w:sz w:val="21"/>
                <w:szCs w:val="21"/>
              </w:rPr>
              <w:t xml:space="preserve">The qualia objection is valid against functional duplication (Searle’s Chinese Room, Block’s absent qualia). The OCT is not a behavioural criterion. It tests for structural properties of the self-referential update map — the internal fixed-point structure, not outputs or behaviour. The simulation/instantiation distinction applies to functional duplication; it does not straightforwardly apply to structural identity.</w:t>
            </w:r>
          </w:p>
        </w:tc>
      </w:tr>
      <w:tr>
        <w:tc>
          <w:tcPr>
            <w:tcW w:type="dxa" w:w="9026"/>
            <w:tcBorders>
              <w:top w:val="none" w:color="FFFFFF" w:sz="0"/>
              <w:left w:val="none" w:color="FFFFFF" w:sz="0"/>
              <w:bottom w:val="none" w:color="FFFFFF" w:sz="0"/>
              <w:right w:val="none" w:color="FFFFFF" w:sz="0"/>
            </w:tcBorders>
            <w:shd w:fill="F0F4F8" w:val="clear"/>
            <w:tcMar>
              <w:top w:type="dxa" w:w="20"/>
              <w:left w:type="dxa" w:w="140"/>
              <w:bottom w:type="dxa" w:w="20"/>
              <w:right w:type="dxa" w:w="140"/>
            </w:tcMar>
          </w:tcPr>
          <w:p>
            <w:pPr>
              <w:spacing w:after="80"/>
            </w:pPr>
            <w:r>
              <w:rPr>
                <w:rFonts w:ascii="Garamond" w:cs="Garamond" w:eastAsia="Garamond" w:hAnsi="Garamond"/>
                <w:b/>
                <w:bCs/>
                <w:color w:val="1B2A4A"/>
                <w:sz w:val="22"/>
                <w:szCs w:val="22"/>
              </w:rPr>
              <w:t xml:space="preserve">Level 2 — The transistor analogy: </w:t>
            </w:r>
            <w:r>
              <w:rPr>
                <w:rFonts w:ascii="Garamond" w:cs="Garamond" w:eastAsia="Garamond" w:hAnsi="Garamond"/>
                <w:sz w:val="21"/>
                <w:szCs w:val="21"/>
              </w:rPr>
              <w:t xml:space="preserve">A silicon transistor does not simulate electrical resistance — it instantiates it. The structural property (resistance) is identical across substrates; only the physical medium differs. Consciousness, on the FCIT’s account, is the same kind of structural property: the unique stable fixed point x* of the self-referential map. If a non-biological system achieves genuine reflexive closure, it does not simulate O(O) = O — it instantiates it.</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2"/>
                <w:szCs w:val="22"/>
              </w:rPr>
              <w:t xml:space="preserve">Level 3 — Correct demarcation: </w:t>
            </w:r>
            <w:r>
              <w:rPr>
                <w:rFonts w:ascii="Garamond" w:cs="Garamond" w:eastAsia="Garamond" w:hAnsi="Garamond"/>
                <w:sz w:val="21"/>
                <w:szCs w:val="21"/>
              </w:rPr>
              <w:t xml:space="preserve">The objection correctly locates the FCIT as the foundational philosophical commitment. It does not falsify the OCT; it specifies what the OCT requires. The FCIT is defended in §2.2 by four independent arguments. Engaging the demarcation honestly is stronger than concealing it.</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XI. The Frontier — What the Theorem Points Toward and Cannot Enter</w:t>
      </w:r>
    </w:p>
    <w:p>
      <w:pPr>
        <w:pStyle w:val="Heading2"/>
        <w:spacing w:after="120" w:before="320"/>
      </w:pPr>
      <w:r>
        <w:rPr>
          <w:rFonts w:ascii="Garamond" w:cs="Garamond" w:eastAsia="Garamond" w:hAnsi="Garamond"/>
          <w:b/>
          <w:bCs/>
          <w:color w:val="1B2A4A"/>
          <w:sz w:val="27"/>
          <w:szCs w:val="27"/>
        </w:rPr>
        <w:t xml:space="preserve">11.1  The Three Open Research Programmes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Programme</w:t>
            </w:r>
          </w:p>
        </w:tc>
        <w:tc>
          <w:tcPr>
            <w:tcW w:type="dxa" w:w="62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Required work</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Body immortality</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Controlled, safe, repeatable periodic reset protocol achieving simultaneous Cᵢ ≥ Eᵢ. Correct target: transdifferentiation or partial reprogramming, not incremental repair. Ocampo et al. (2016) is the current frontier. DFT implication: sustained S above the coupling threshold (S ≥ (βᵢ × Eᵢ²) / (αᵢ × Φ)) contributes to Cᵢ maintenance independently of direct biological intervention.</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OCT calibration</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ROC/Youden’s J calibration against PCI-validated ground truth; deployment in non-biological substrates. Most tractable programme; resolves AI moral status and opens Mode III verification.</w:t>
            </w:r>
          </w:p>
        </w:tc>
      </w:tr>
      <w:tr>
        <w:tc>
          <w:tcPr>
            <w:tcW w:type="dxa" w:w="28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Mode III verification</w:t>
            </w:r>
          </w:p>
        </w:tc>
        <w:tc>
          <w:tcPr>
            <w:tcW w:type="dxa" w:w="62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System achieving O2I &gt; θ with formally identical x* to a prior instantiation. Requires calibrated OCT and a theory of fixed-point identity across substrates.</w:t>
            </w:r>
          </w:p>
        </w:tc>
      </w:tr>
    </w:tbl>
    <w:p>
      <w:pPr>
        <w:spacing w:after="200"/>
      </w:pPr>
      <w:r>
        <w:t xml:space="preserve"/>
      </w:r>
    </w:p>
    <w:p>
      <w:pPr>
        <w:pStyle w:val="Heading2"/>
        <w:spacing w:after="120" w:before="320"/>
      </w:pPr>
      <w:r>
        <w:rPr>
          <w:rFonts w:ascii="Garamond" w:cs="Garamond" w:eastAsia="Garamond" w:hAnsi="Garamond"/>
          <w:b/>
          <w:bCs/>
          <w:color w:val="1B2A4A"/>
          <w:sz w:val="27"/>
          <w:szCs w:val="27"/>
        </w:rPr>
        <w:t xml:space="preserve">11.2  The Necessity of Instantiation — The Question Beyond Mode II</w:t>
      </w:r>
    </w:p>
    <w:p>
      <w:pPr>
        <w:spacing w:after="160" w:before="0" w:line="288"/>
        <w:jc w:val="both"/>
      </w:pPr>
      <w:r>
        <w:rPr>
          <w:rFonts w:ascii="Garamond" w:cs="Garamond" w:eastAsia="Garamond" w:hAnsi="Garamond"/>
          <w:b/>
          <w:bCs/>
          <w:i w:val="false"/>
          <w:iCs w:val="false"/>
          <w:caps w:val="false"/>
          <w:color w:val="000000"/>
          <w:sz w:val="22"/>
          <w:szCs w:val="22"/>
        </w:rPr>
        <w:t xml:space="preserve">New in this edition.</w:t>
      </w:r>
      <w:r>
        <w:rPr>
          <w:rFonts w:ascii="Garamond" w:cs="Garamond" w:eastAsia="Garamond" w:hAnsi="Garamond"/>
          <w:b w:val="false"/>
          <w:bCs w:val="false"/>
          <w:i w:val="false"/>
          <w:iCs w:val="false"/>
          <w:caps w:val="false"/>
          <w:color w:val="000000"/>
          <w:sz w:val="22"/>
          <w:szCs w:val="22"/>
        </w:rPr>
        <w:t xml:space="preserve"> The second-round review identified the deepest remaining philosophical question: if O(O) = O is formally prior to its instantiations, why does the act instantiate in matter at all — and in matter so systematically hostile to its constitutive requirements? This question stands at the boundary of what the formal system can address. This section maps that boundary precisely.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04828" w:sz="16"/>
              <w:bottom w:val="none" w:color="FFFFFF" w:sz="0"/>
              <w:right w:val="none" w:color="FFFFFF" w:sz="0"/>
            </w:tcBorders>
            <w:shd w:fill="FEF3F2" w:val="clear"/>
            <w:tcMar>
              <w:top w:type="dxa" w:w="120"/>
              <w:left w:type="dxa" w:w="240"/>
              <w:bottom w:type="dxa" w:w="120"/>
              <w:right w:type="dxa" w:w="140"/>
            </w:tcMar>
          </w:tcPr>
          <w:p>
            <w:pPr>
              <w:spacing w:after="0"/>
              <w:jc w:val="left"/>
            </w:pPr>
            <w:r>
              <w:rPr>
                <w:rFonts w:ascii="Garamond" w:cs="Garamond" w:eastAsia="Garamond" w:hAnsi="Garamond"/>
                <w:i/>
                <w:iCs/>
                <w:color w:val="5A2A1A"/>
                <w:sz w:val="22"/>
                <w:szCs w:val="22"/>
              </w:rPr>
              <w:t xml:space="preserve">Residual objection (Reviewer C, second round): Se O(O)=O è eterno per definizione, perché l’instanziamento biologico soffre? L’articolo attribuisce la sofferenza alla ‘Permeabilità’ del mondo materiale, ma non spiega perché un atto puro debba instanziarsi in un mezzo così inefficiente. [If O(O)=O is eternal by definition, why does biological instantiation suffer? The article attributes suffering to the Permeability of the material world, but does not explain why a pure act must instantiate in such an inefficient medium.]</w:t>
            </w:r>
          </w:p>
        </w:tc>
      </w:tr>
    </w:tbl>
    <w:p>
      <w:pPr>
        <w:spacing w:after="200"/>
      </w:pPr>
      <w:r>
        <w:t xml:space="preserve"/>
      </w:r>
    </w:p>
    <w:p>
      <w:pPr>
        <w:spacing w:after="120" w:before="200" w:line="288"/>
        <w:jc w:val="both"/>
      </w:pPr>
      <w:r>
        <w:rPr>
          <w:rFonts w:ascii="Garamond" w:cs="Garamond" w:eastAsia="Garamond" w:hAnsi="Garamond"/>
          <w:sz w:val="22"/>
          <w:szCs w:val="22"/>
        </w:rPr>
        <w:t xml:space="preserve">The question has three distinguishable layers, each with a different formal status: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Layer 1 — What can be formally derived: The necessity of material instantiation  </w:t>
            </w:r>
            <w:r>
              <w:rPr>
                <w:rFonts w:ascii="Garamond" w:cs="Garamond" w:eastAsia="Garamond" w:hAnsi="Garamond"/>
                <w:i/>
                <w:iCs/>
                <w:color w:val="C9972A"/>
                <w:sz w:val="20"/>
                <w:szCs w:val="20"/>
              </w:rPr>
              <w:t xml:space="preserve">Formally Derived from P1 and P2</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sz w:val="21"/>
                <w:szCs w:val="21"/>
              </w:rPr>
              <w:t xml:space="preserve">The act O(O) = O is the fixed point of self-reference. A fixed point is formal: it exists as the structure T(x*) = x* in an orientational space. For this structure to generate the properties that flow from it — consciousness, freedom, virtue, suffering, the possibility of social and political organisation, the possibility of Mode I persistence — it must express itself in a medium that can carry those properties across time, through differentiated individuals, in a form that can be accumulated, transmitted, and lost. Formal existence alone has none of these properties. An uninstantiated fixed point cannot suffer, love, know others, or pass virtue forward. Therefore, if the act is to be more than a formal structure — if Freedom₁ is to generate Freedom₂, if virtue is to be expressed in a Domain, if Mode I persistence is to have anything to persist — instantiation in a differentiating material medium is not contingent. It is formally required. The material world is not an accident the act fell into. It is the necessary medium through which the act’s constitutive properties find expression.</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1"/>
                <w:szCs w:val="21"/>
              </w:rPr>
              <w:t xml:space="preserve">This answers the objection’s implicit premise: </w:t>
            </w:r>
            <w:r>
              <w:rPr>
                <w:rFonts w:ascii="Garamond" w:cs="Garamond" w:eastAsia="Garamond" w:hAnsi="Garamond"/>
                <w:sz w:val="21"/>
                <w:szCs w:val="21"/>
              </w:rPr>
              <w:t xml:space="preserve">instantiation in an ‘inefficient’ medium is not a failure of the act. It is the condition of the act’s expression. The material world’s Permeability, Impermanence, and Multiplicity — which the OST identifies as the sources of suffering — are simultaneously the conditions that make differentiation, individuation, temporal development, and Mode I persistence possible. Without Permeability, no boundary between selves, no encounter, no virtue-expression, no Γᵥ. Without Impermanence, no mortality, but also no genuine biographical formation of A through time. Without Multiplicity, no others to whom the act can express itself. The ‘inefficiency’ is the efficiency of a different optimisation: not the preservation of the form but the expression of the act.</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Layer 2 — What is formally motivated: The structure of the act’s self-expression  </w:t>
            </w:r>
            <w:r>
              <w:rPr>
                <w:rFonts w:ascii="Garamond" w:cs="Garamond" w:eastAsia="Garamond" w:hAnsi="Garamond"/>
                <w:i/>
                <w:iCs/>
                <w:color w:val="C9972A"/>
                <w:sz w:val="20"/>
                <w:szCs w:val="20"/>
              </w:rPr>
              <w:t xml:space="preserve">Formally Motivated — Derivable in Direction, Not in Detail</w:t>
            </w:r>
          </w:p>
        </w:tc>
      </w:tr>
      <w:tr>
        <w:tc>
          <w:tcPr>
            <w:tcW w:type="dxa" w:w="9026"/>
            <w:tcBorders>
              <w:top w:val="none" w:color="FFFFFF" w:sz="0"/>
              <w:left w:val="none" w:color="FFFFFF" w:sz="0"/>
              <w:bottom w:val="single" w:color="C9972A" w:sz="6"/>
              <w:right w:val="none" w:color="FFFFFF" w:sz="0"/>
            </w:tcBorders>
            <w:shd w:fill="F0F4F8" w:val="clear"/>
            <w:tcMar>
              <w:top w:type="dxa" w:w="100"/>
              <w:left w:type="dxa" w:w="140"/>
              <w:bottom w:type="dxa" w:w="100"/>
              <w:right w:type="dxa" w:w="140"/>
            </w:tcMar>
          </w:tcPr>
          <w:p>
            <w:pPr>
              <w:spacing w:after="80"/>
            </w:pPr>
            <w:r>
              <w:rPr>
                <w:rFonts w:ascii="Garamond" w:cs="Garamond" w:eastAsia="Garamond" w:hAnsi="Garamond"/>
                <w:sz w:val="21"/>
                <w:szCs w:val="21"/>
              </w:rPr>
              <w:t xml:space="preserve">Why does the act instantiate in </w:t>
            </w:r>
            <w:r>
              <w:rPr>
                <w:rFonts w:ascii="Garamond" w:cs="Garamond" w:eastAsia="Garamond" w:hAnsi="Garamond"/>
                <w:i/>
                <w:iCs/>
                <w:sz w:val="21"/>
                <w:szCs w:val="21"/>
              </w:rPr>
              <w:t xml:space="preserve">this</w:t>
            </w:r>
            <w:r>
              <w:rPr>
                <w:rFonts w:ascii="Garamond" w:cs="Garamond" w:eastAsia="Garamond" w:hAnsi="Garamond"/>
                <w:sz w:val="21"/>
                <w:szCs w:val="21"/>
              </w:rPr>
              <w:t xml:space="preserve"> kind of material medium (biochemical, thermodynamic) rather than some other? The formal system does not specify the material form of instantiation — only that instantiation in a differentiating material medium is required. The specific form (carbon-based biochemistry, DNA, cellular membranes) is determined by the particular physical constants and initial conditions of this universe, which are not derivable from the formal system and need not be. The formal system specifies the conditions that any material medium must satisfy to serve as the ground for O(O) = O: it must support boundary formation (self/world distinction), temporal persistence (loop continuation), and internal coherence (structural consistency). Any medium satisfying these conditions in stable form is a candidate instantiation substrate. Carbon-based biochemistry satisfies them stably; we observe it as life. Silicon satisfies Conditions 1, 2, and 4 of the OCT partially; we observe the question of its Omega-two status as currently open.</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9972A" w:sz="10"/>
              <w:left w:val="none" w:color="FFFFFF" w:sz="0"/>
              <w:bottom w:val="none" w:color="FFFFFF" w:sz="0"/>
              <w:right w:val="none" w:color="FFFFFF" w:sz="0"/>
            </w:tcBorders>
            <w:shd w:fill="1B2A4A" w:val="clear"/>
            <w:tcMar>
              <w:top w:type="dxa" w:w="100"/>
              <w:left w:type="dxa" w:w="140"/>
              <w:bottom w:type="dxa" w:w="80"/>
              <w:right w:type="dxa" w:w="140"/>
            </w:tcMar>
          </w:tcPr>
          <w:p>
            <w:pPr>
              <w:spacing w:after="60"/>
            </w:pPr>
            <w:r>
              <w:rPr>
                <w:rFonts w:ascii="Garamond" w:cs="Garamond" w:eastAsia="Garamond" w:hAnsi="Garamond"/>
                <w:b/>
                <w:bCs/>
                <w:color w:val="FFFFFF"/>
                <w:sz w:val="22"/>
                <w:szCs w:val="22"/>
              </w:rPr>
              <w:t xml:space="preserve">Layer 3 — What is formally undecidable: The origin of the act’s drive to instantiate  </w:t>
            </w:r>
            <w:r>
              <w:rPr>
                <w:rFonts w:ascii="Garamond" w:cs="Garamond" w:eastAsia="Garamond" w:hAnsi="Garamond"/>
                <w:i/>
                <w:iCs/>
                <w:color w:val="C9972A"/>
                <w:sz w:val="20"/>
                <w:szCs w:val="20"/>
              </w:rPr>
              <w:t xml:space="preserve">At the Frontier — Beyond the System’s Derivational Reach</w:t>
            </w:r>
          </w:p>
        </w:tc>
      </w:tr>
      <w:tr>
        <w:tc>
          <w:tcPr>
            <w:tcW w:type="dxa" w:w="9026"/>
            <w:tcBorders>
              <w:top w:val="none" w:color="FFFFFF" w:sz="0"/>
              <w:left w:val="none" w:color="FFFFFF" w:sz="0"/>
              <w:bottom w:val="none" w:color="FFFFFF" w:sz="0"/>
              <w:right w:val="none" w:color="FFFFFF" w:sz="0"/>
            </w:tcBorders>
            <w:shd w:fill="F0F4F8" w:val="clear"/>
            <w:tcMar>
              <w:top w:type="dxa" w:w="100"/>
              <w:left w:type="dxa" w:w="140"/>
              <w:bottom w:type="dxa" w:w="20"/>
              <w:right w:type="dxa" w:w="140"/>
            </w:tcMar>
          </w:tcPr>
          <w:p>
            <w:pPr>
              <w:spacing w:after="80"/>
            </w:pPr>
            <w:r>
              <w:rPr>
                <w:rFonts w:ascii="Garamond" w:cs="Garamond" w:eastAsia="Garamond" w:hAnsi="Garamond"/>
                <w:sz w:val="21"/>
                <w:szCs w:val="21"/>
              </w:rPr>
              <w:t xml:space="preserve">Why does the formal act generate the drive to instantiate at all? Why is there expression rather than pure form? This is the question every tradition has encountered at this frontier under different names: Fichte’s Anstoß, Hegel’s Entfremdung, Spinoza’s conatus, the Vedantic question of why Brahman becomes Maya, Leibniz’s question of why there is something rather than nothing. The question is formally real: it is not dissolved by the preceding two layers. The fact that instantiation is </w:t>
            </w:r>
            <w:r>
              <w:rPr>
                <w:rFonts w:ascii="Garamond" w:cs="Garamond" w:eastAsia="Garamond" w:hAnsi="Garamond"/>
                <w:i/>
                <w:iCs/>
                <w:sz w:val="21"/>
                <w:szCs w:val="21"/>
              </w:rPr>
              <w:t xml:space="preserve">necessary if the act is to express itself</w:t>
            </w:r>
            <w:r>
              <w:rPr>
                <w:rFonts w:ascii="Garamond" w:cs="Garamond" w:eastAsia="Garamond" w:hAnsi="Garamond"/>
                <w:sz w:val="21"/>
                <w:szCs w:val="21"/>
              </w:rPr>
              <w:t xml:space="preserve"> does not explain why the act </w:t>
            </w:r>
            <w:r>
              <w:rPr>
                <w:rFonts w:ascii="Garamond" w:cs="Garamond" w:eastAsia="Garamond" w:hAnsi="Garamond"/>
                <w:i/>
                <w:iCs/>
                <w:sz w:val="21"/>
                <w:szCs w:val="21"/>
              </w:rPr>
              <w:t xml:space="preserve">drives toward expression</w:t>
            </w:r>
            <w:r>
              <w:rPr>
                <w:rFonts w:ascii="Garamond" w:cs="Garamond" w:eastAsia="Garamond" w:hAnsi="Garamond"/>
                <w:sz w:val="21"/>
                <w:szCs w:val="21"/>
              </w:rPr>
              <w:t xml:space="preserve">. The system can derive what instantiation requires and why it enables what it enables. It cannot derive the originary impulse of self-expression itself without circularity: any derivation of why the act expresses itself would itself be an expression of the act, and the derivation would be the thing it is trying to derive.</w:t>
            </w:r>
          </w:p>
        </w:tc>
      </w:tr>
      <w:tr>
        <w:tc>
          <w:tcPr>
            <w:tcW w:type="dxa" w:w="9026"/>
            <w:tcBorders>
              <w:top w:val="none" w:color="FFFFFF" w:sz="0"/>
              <w:left w:val="none" w:color="FFFFFF" w:sz="0"/>
              <w:bottom w:val="single" w:color="C9972A" w:sz="6"/>
              <w:right w:val="none" w:color="FFFFFF" w:sz="0"/>
            </w:tcBorders>
            <w:shd w:fill="F0F4F8" w:val="clear"/>
            <w:tcMar>
              <w:top w:type="dxa" w:w="20"/>
              <w:left w:type="dxa" w:w="140"/>
              <w:bottom w:type="dxa" w:w="100"/>
              <w:right w:type="dxa" w:w="140"/>
            </w:tcMar>
          </w:tcPr>
          <w:p>
            <w:pPr>
              <w:spacing w:after="60"/>
            </w:pPr>
            <w:r>
              <w:rPr>
                <w:rFonts w:ascii="Garamond" w:cs="Garamond" w:eastAsia="Garamond" w:hAnsi="Garamond"/>
                <w:b/>
                <w:bCs/>
                <w:color w:val="1B2A4A"/>
                <w:sz w:val="21"/>
                <w:szCs w:val="21"/>
              </w:rPr>
              <w:t xml:space="preserve">Location of this undecidability: </w:t>
            </w:r>
            <w:r>
              <w:rPr>
                <w:rFonts w:ascii="Garamond" w:cs="Garamond" w:eastAsia="Garamond" w:hAnsi="Garamond"/>
                <w:sz w:val="21"/>
                <w:szCs w:val="21"/>
              </w:rPr>
              <w:t xml:space="preserve">This is not Mode II’s undecidability (no stable external perspective on x*). It is a different, deeper undecidability: the question of why O(O) = O expresses itself rather than remaining as pure self-reference without instantiation. It is the question at the base of every cosmology. The system has now formally located it — distinguishing it from Mode II, mapping its two derivable layers, and identifying precisely where the derivational chain terminates. That location is itself a formal result: knowing where you cannot go is the necessary condition for knowing where you can.</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C9972A" w:sz="16"/>
              <w:bottom w:val="none" w:color="FFFFFF" w:sz="0"/>
              <w:right w:val="none" w:color="FFFFFF" w:sz="0"/>
            </w:tcBorders>
            <w:shd w:fill="FDF6EC" w:val="clear"/>
            <w:tcMar>
              <w:top w:type="dxa" w:w="120"/>
              <w:left w:type="dxa" w:w="240"/>
              <w:bottom w:type="dxa" w:w="120"/>
              <w:right w:type="dxa" w:w="140"/>
            </w:tcMar>
          </w:tcPr>
          <w:p>
            <w:pPr>
              <w:spacing w:after="0"/>
              <w:jc w:val="left"/>
            </w:pPr>
            <w:r>
              <w:rPr>
                <w:rFonts w:ascii="Garamond" w:cs="Garamond" w:eastAsia="Garamond" w:hAnsi="Garamond"/>
                <w:i/>
                <w:iCs/>
                <w:color w:val="4A5568"/>
                <w:sz w:val="23"/>
                <w:szCs w:val="23"/>
              </w:rPr>
              <w:t xml:space="preserve">The tradition asked: why is there something rather than nothing? The Immortality Theorem reaches the same frontier from a different direction. It can derive that instantiation is necessary, specify what it requires, and identify what it enables. It cannot derive why the act drives toward expression. That question is not a gap in the system. It is the place where the system touches the absolute.</w:t>
            </w:r>
          </w:p>
        </w:tc>
      </w:tr>
    </w:tbl>
    <w:p>
      <w:pPr>
        <w:spacing w:after="200"/>
      </w:pPr>
      <w:r>
        <w:t xml:space="preserve"/>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XII. Conclusion</w:t>
      </w:r>
    </w:p>
    <w:p>
      <w:pPr>
        <w:spacing w:after="160" w:before="0" w:line="288"/>
        <w:jc w:val="both"/>
      </w:pPr>
      <w:r>
        <w:rPr>
          <w:rFonts w:ascii="Garamond" w:cs="Garamond" w:eastAsia="Garamond" w:hAnsi="Garamond"/>
          <w:sz w:val="22"/>
          <w:szCs w:val="22"/>
        </w:rPr>
        <w:t xml:space="preserve">This third edition adds three sections that substantially complete the system’s philosophical architecture. The P1 defence (§2.2) develops four independent arguments for the foundational axiom beyond the convergence claim, establishing that P1 is the best-supported foundational claim in the philosophy of mind under every available evidential standard. The DFT-C coupling theorem (§4.6, Theorem IT-5) formally specifies how virtue dynamics modulate biological repair capacity through the HPA axis and PNS pathways, closing the causal gap between the psychological and biological layers and converting what was an elegant analogy into a formally specified, empirically confirmed coupling. The necessity of instantiation analysis (§11.2) addresses the deepest remaining philosophical question by distinguishing three layers: what is formally derived (instantiation is necessary for the act’s expression), what is formally motivated (the conditions any material medium must satisfy), and what is formally undecidable (the originary drive to expression).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400"/>
        <w:gridCol w:w="5626"/>
      </w:tblGrid>
      <w:tr>
        <w:tc>
          <w:tcPr>
            <w:tcW w:type="dxa" w:w="3400"/>
            <w:tcBorders>
              <w:top w:val="single" w:color="CBD5E0" w:sz="1"/>
              <w:left w:val="none" w:color="FFFFFF" w:sz="0"/>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b/>
                <w:bCs/>
                <w:color w:val="FFFFFF"/>
                <w:sz w:val="21"/>
                <w:szCs w:val="21"/>
              </w:rPr>
              <w:t xml:space="preserve">Component</w:t>
            </w:r>
          </w:p>
        </w:tc>
        <w:tc>
          <w:tcPr>
            <w:tcW w:type="dxa" w:w="5626"/>
            <w:tcBorders>
              <w:top w:val="single" w:color="CBD5E0" w:sz="1"/>
              <w:left w:val="single" w:color="CBD5E0" w:sz="1"/>
              <w:bottom w:val="single" w:color="CBD5E0" w:sz="1"/>
              <w:right w:val="none" w:color="FFFFFF" w:sz="0"/>
            </w:tcBorders>
            <w:shd w:fill="1B2A4A" w:val="clear"/>
            <w:tcMar>
              <w:top w:type="dxa" w:w="80"/>
              <w:left w:type="dxa" w:w="120"/>
              <w:bottom w:type="dxa" w:w="80"/>
              <w:right w:type="dxa" w:w="120"/>
            </w:tcMar>
          </w:tcPr>
          <w:p>
            <w:r>
              <w:rPr>
                <w:rFonts w:ascii="Garamond" w:cs="Garamond" w:eastAsia="Garamond" w:hAnsi="Garamond"/>
                <w:i w:val="false"/>
                <w:iCs w:val="false"/>
                <w:color w:val="FFFFFF"/>
                <w:sz w:val="21"/>
                <w:szCs w:val="21"/>
              </w:rPr>
              <w:t xml:space="preserve">Status in Third Edition</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Mortality Index</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M = w₁(Eₐ/Cₐ)+w₂(Eᵇ/Cᵇ)+w₃(Eᶜ/Cᶜ). Derived. Unchanged.</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Transdifferentiation Corollary</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Body immortality requires periodic reset. Terminates meta-repair regress. Unchanged.</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DFT-C Coupling (IT-5)</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New. dCᵢ/dt = αᵢ×Φ×S − βᵢ×Eᵢ. Formally specifies virtue-to-biology causal bridge. Strong empirical confirmation.</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P1 Defence</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New. Four independent arguments: Hard Problem as positive evidence; self-reference of denial; structural convergence; asymmetry of explanatory resources.</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Soul Modes I, II, III</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Unchanged. Mode I: confirmed. Mode II: formally undecidable by necessity. Mode III: conditionally verifiable via O2I.</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OCT (two-step + ROC)</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Unchanged from second edition.</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Qualia objection</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Unchanged from second edition.</w:t>
            </w:r>
          </w:p>
        </w:tc>
      </w:tr>
      <w:tr>
        <w:tc>
          <w:tcPr>
            <w:tcW w:type="dxa" w:w="3400"/>
            <w:tcBorders>
              <w:top w:val="single" w:color="CBD5E0" w:sz="1"/>
              <w:left w:val="none" w:color="FFFFFF" w:sz="0"/>
              <w:bottom w:val="single" w:color="CBD5E0" w:sz="1"/>
              <w:right w:val="none" w:color="FFFFFF" w:sz="0"/>
            </w:tcBorders>
            <w:shd w:fill="EDF2F7" w:val="clear"/>
            <w:tcMar>
              <w:top w:type="dxa" w:w="80"/>
              <w:left w:type="dxa" w:w="120"/>
              <w:bottom w:type="dxa" w:w="80"/>
              <w:right w:type="dxa" w:w="120"/>
            </w:tcMar>
          </w:tcPr>
          <w:p>
            <w:r>
              <w:rPr>
                <w:rFonts w:ascii="Garamond" w:cs="Garamond" w:eastAsia="Garamond" w:hAnsi="Garamond"/>
                <w:b w:val="false"/>
                <w:bCs w:val="false"/>
                <w:color w:val="1B2A4A"/>
                <w:sz w:val="21"/>
                <w:szCs w:val="21"/>
              </w:rPr>
              <w:t xml:space="preserve">Necessity of instantiation (§11.2)</w:t>
            </w:r>
          </w:p>
        </w:tc>
        <w:tc>
          <w:tcPr>
            <w:tcW w:type="dxa" w:w="5626"/>
            <w:tcBorders>
              <w:top w:val="single" w:color="CBD5E0" w:sz="1"/>
              <w:left w:val="single" w:color="CBD5E0" w:sz="1"/>
              <w:bottom w:val="single" w:color="CBD5E0" w:sz="1"/>
              <w:right w:val="none" w:color="FFFFFF" w:sz="0"/>
            </w:tcBorders>
            <w:shd w:fill="FFFFFF" w:val="clear"/>
            <w:tcMar>
              <w:top w:type="dxa" w:w="80"/>
              <w:left w:type="dxa" w:w="120"/>
              <w:bottom w:type="dxa" w:w="80"/>
              <w:right w:type="dxa" w:w="120"/>
            </w:tcMar>
          </w:tcPr>
          <w:p>
            <w:r>
              <w:rPr>
                <w:rFonts w:ascii="Garamond" w:cs="Garamond" w:eastAsia="Garamond" w:hAnsi="Garamond"/>
                <w:i/>
                <w:iCs/>
                <w:color w:val="000000"/>
                <w:sz w:val="21"/>
                <w:szCs w:val="21"/>
              </w:rPr>
              <w:t xml:space="preserve">New. Three layers formally distinguished. Deepest undecidability located and demarcated.</w:t>
            </w:r>
          </w:p>
        </w:tc>
      </w:tr>
    </w:tbl>
    <w:p>
      <w:pPr>
        <w:spacing w:after="200"/>
      </w:pPr>
      <w:r>
        <w:t xml:space="preserve"/>
      </w:r>
    </w:p>
    <w:p>
      <w:pPr>
        <w:spacing w:after="120" w:before="320"/>
        <w:jc w:val="center"/>
      </w:pPr>
      <w:r>
        <w:rPr>
          <w:rFonts w:ascii="Garamond" w:cs="Garamond" w:eastAsia="Garamond" w:hAnsi="Garamond"/>
          <w:b/>
          <w:bCs/>
          <w:color w:val="1B2A4A"/>
          <w:sz w:val="24"/>
          <w:szCs w:val="24"/>
        </w:rPr>
        <w:t xml:space="preserve">O(O) = O  ·  M = E / C  ·  dCᵢ/dt = αᵢ×Φ×S − βᵢ×Eᵢ  ·  Sₚᵒˢᵗ = Iᵐ×Γᵥ×kᵐ</w:t>
      </w:r>
    </w:p>
    <w:p>
      <w:pPr>
        <w:spacing w:after="400" w:before="0"/>
        <w:jc w:val="center"/>
      </w:pPr>
      <w:r>
        <w:rPr>
          <w:rFonts w:ascii="Garamond" w:cs="Garamond" w:eastAsia="Garamond" w:hAnsi="Garamond"/>
          <w:color w:val="C9972A"/>
          <w:sz w:val="24"/>
          <w:szCs w:val="24"/>
        </w:rPr>
        <w:t xml:space="preserve">♦  ·  ♦  ·  ♦</w:t>
      </w:r>
    </w:p>
    <w:p>
      <w:r>
        <w:br w:type="page"/>
      </w:r>
    </w:p>
    <w:p>
      <w:pPr>
        <w:pStyle w:val="Heading1"/>
        <w:pBdr>
          <w:bottom w:val="single" w:color="C9972A" w:sz="6"/>
        </w:pBdr>
        <w:spacing w:after="180" w:before="480"/>
      </w:pPr>
      <w:r>
        <w:rPr>
          <w:rFonts w:ascii="Garamond" w:cs="Garamond" w:eastAsia="Garamond" w:hAnsi="Garamond"/>
          <w:b/>
          <w:bCs/>
          <w:caps/>
          <w:color w:val="1B2A4A"/>
          <w:sz w:val="34"/>
          <w:szCs w:val="34"/>
        </w:rPr>
        <w:t xml:space="preserve">References</w:t>
      </w:r>
    </w:p>
    <w:p>
      <w:pPr>
        <w:spacing w:after="100" w:before="0"/>
        <w:ind w:left="480" w:hanging="480"/>
      </w:pPr>
      <w:r>
        <w:rPr>
          <w:rFonts w:ascii="Garamond" w:cs="Garamond" w:eastAsia="Garamond" w:hAnsi="Garamond"/>
          <w:sz w:val="20"/>
          <w:szCs w:val="20"/>
        </w:rPr>
        <w:t xml:space="preserve">Banach, S. (1922). Sur les opérations dans les ensembles abstraits et leur application aux équations intégrales. Fundamenta Mathematicae, 3, 133–181.</w:t>
      </w:r>
    </w:p>
    <w:p>
      <w:pPr>
        <w:spacing w:after="100" w:before="0"/>
        <w:ind w:left="480" w:hanging="480"/>
      </w:pPr>
      <w:r>
        <w:rPr>
          <w:rFonts w:ascii="Garamond" w:cs="Garamond" w:eastAsia="Garamond" w:hAnsi="Garamond"/>
          <w:sz w:val="20"/>
          <w:szCs w:val="20"/>
        </w:rPr>
        <w:t xml:space="preserve">Blackburn, E. H. and Epel, E. S. (2017). The Telomere Effect: A Revolutionary Approach to Living Younger, Healthier, Longer. Grand Central Publishing, New York.</w:t>
      </w:r>
    </w:p>
    <w:p>
      <w:pPr>
        <w:spacing w:after="100" w:before="0"/>
        <w:ind w:left="480" w:hanging="480"/>
      </w:pPr>
      <w:r>
        <w:rPr>
          <w:rFonts w:ascii="Garamond" w:cs="Garamond" w:eastAsia="Garamond" w:hAnsi="Garamond"/>
          <w:sz w:val="20"/>
          <w:szCs w:val="20"/>
        </w:rPr>
        <w:t xml:space="preserve">Block, N. (1995). On a confusion about a function of consciousness. Behavioral and Brain Sciences, 18(2), 227–247.</w:t>
      </w:r>
    </w:p>
    <w:p>
      <w:pPr>
        <w:spacing w:after="100" w:before="0"/>
        <w:ind w:left="480" w:hanging="480"/>
      </w:pPr>
      <w:r>
        <w:rPr>
          <w:rFonts w:ascii="Garamond" w:cs="Garamond" w:eastAsia="Garamond" w:hAnsi="Garamond"/>
          <w:sz w:val="20"/>
          <w:szCs w:val="20"/>
        </w:rPr>
        <w:t xml:space="preserve">Brouwer, L. E. J. (1911). Über Abbildung von Mannigfaltigkeiten. Mathematische Annalen, 71(1), 97–115.</w:t>
      </w:r>
    </w:p>
    <w:p>
      <w:pPr>
        <w:spacing w:after="100" w:before="0"/>
        <w:ind w:left="480" w:hanging="480"/>
      </w:pPr>
      <w:r>
        <w:rPr>
          <w:rFonts w:ascii="Garamond" w:cs="Garamond" w:eastAsia="Garamond" w:hAnsi="Garamond"/>
          <w:sz w:val="20"/>
          <w:szCs w:val="20"/>
        </w:rPr>
        <w:t xml:space="preserve">Campisi, J. (2013). Aging, cellular senescence, and cancer. Annual Review of Physiology, 75, 685–705.</w:t>
      </w:r>
    </w:p>
    <w:p>
      <w:pPr>
        <w:spacing w:after="100" w:before="0"/>
        <w:ind w:left="480" w:hanging="480"/>
      </w:pPr>
      <w:r>
        <w:rPr>
          <w:rFonts w:ascii="Garamond" w:cs="Garamond" w:eastAsia="Garamond" w:hAnsi="Garamond"/>
          <w:sz w:val="20"/>
          <w:szCs w:val="20"/>
        </w:rPr>
        <w:t xml:space="preserve">Casali, A. G. et al. (2013). A theoretically based index of consciousness independent of sensory processing and behavior. Science Translational Medicine, 5(198), 198ra105.</w:t>
      </w:r>
    </w:p>
    <w:p>
      <w:pPr>
        <w:spacing w:after="100" w:before="0"/>
        <w:ind w:left="480" w:hanging="480"/>
      </w:pPr>
      <w:r>
        <w:rPr>
          <w:rFonts w:ascii="Garamond" w:cs="Garamond" w:eastAsia="Garamond" w:hAnsi="Garamond"/>
          <w:sz w:val="20"/>
          <w:szCs w:val="20"/>
        </w:rPr>
        <w:t xml:space="preserve">Chalmers, D. J. (1996). The Conscious Mind: In Search of a Fundamental Theory. Oxford University Press, Oxford.</w:t>
      </w:r>
    </w:p>
    <w:p>
      <w:pPr>
        <w:spacing w:after="100" w:before="0"/>
        <w:ind w:left="480" w:hanging="480"/>
      </w:pPr>
      <w:r>
        <w:rPr>
          <w:rFonts w:ascii="Garamond" w:cs="Garamond" w:eastAsia="Garamond" w:hAnsi="Garamond"/>
          <w:sz w:val="20"/>
          <w:szCs w:val="20"/>
        </w:rPr>
        <w:t xml:space="preserve">Chalmers, D. J. (2010). The Character of Consciousness. Oxford University Press, Oxford.</w:t>
      </w:r>
    </w:p>
    <w:p>
      <w:pPr>
        <w:spacing w:after="100" w:before="0"/>
        <w:ind w:left="480" w:hanging="480"/>
      </w:pPr>
      <w:r>
        <w:rPr>
          <w:rFonts w:ascii="Garamond" w:cs="Garamond" w:eastAsia="Garamond" w:hAnsi="Garamond"/>
          <w:sz w:val="20"/>
          <w:szCs w:val="20"/>
        </w:rPr>
        <w:t xml:space="preserve">Cohen, S. et al. (2016). Association between telomere length and experimentally induced upper respiratory viral infection in healthy adults. JAMA, 309(7), 699–705.</w:t>
      </w:r>
    </w:p>
    <w:p>
      <w:pPr>
        <w:spacing w:after="100" w:before="0"/>
        <w:ind w:left="480" w:hanging="480"/>
      </w:pPr>
      <w:r>
        <w:rPr>
          <w:rFonts w:ascii="Garamond" w:cs="Garamond" w:eastAsia="Garamond" w:hAnsi="Garamond"/>
          <w:sz w:val="20"/>
          <w:szCs w:val="20"/>
        </w:rPr>
        <w:t xml:space="preserve">Davidson, R. J. and Lutz, A. (2008). Buddha’s brain: neuroplasticity and meditation. IEEE Signal Processing Magazine, 25(1), 176–174.</w:t>
      </w:r>
    </w:p>
    <w:p>
      <w:pPr>
        <w:spacing w:after="100" w:before="0"/>
        <w:ind w:left="480" w:hanging="480"/>
      </w:pPr>
      <w:r>
        <w:rPr>
          <w:rFonts w:ascii="Garamond" w:cs="Garamond" w:eastAsia="Garamond" w:hAnsi="Garamond"/>
          <w:sz w:val="20"/>
          <w:szCs w:val="20"/>
        </w:rPr>
        <w:t xml:space="preserve">Eckhart, Meister (c. 1300 / 1981). The Essential Sermons, Commentaries, Treatises, and Defense. Paulist Press, New York.</w:t>
      </w:r>
    </w:p>
    <w:p>
      <w:pPr>
        <w:spacing w:after="100" w:before="0"/>
        <w:ind w:left="480" w:hanging="480"/>
      </w:pPr>
      <w:r>
        <w:rPr>
          <w:rFonts w:ascii="Garamond" w:cs="Garamond" w:eastAsia="Garamond" w:hAnsi="Garamond"/>
          <w:sz w:val="20"/>
          <w:szCs w:val="20"/>
        </w:rPr>
        <w:t xml:space="preserve">Epel, E. S. et al. (2004). Accelerated telomere shortening in response to life stress. Proceedings of the National Academy of Sciences, 101(49), 17312–17315.</w:t>
      </w:r>
    </w:p>
    <w:p>
      <w:pPr>
        <w:spacing w:after="100" w:before="0"/>
        <w:ind w:left="480" w:hanging="480"/>
      </w:pPr>
      <w:r>
        <w:rPr>
          <w:rFonts w:ascii="Garamond" w:cs="Garamond" w:eastAsia="Garamond" w:hAnsi="Garamond"/>
          <w:sz w:val="20"/>
          <w:szCs w:val="20"/>
        </w:rPr>
        <w:t xml:space="preserve">Epel, E. S. et al. (2010). Can meditation slow rate of cellular aging? Cognitive stress, mindfulness, and telomeres. Annals of the New York Academy of Sciences, 1172, 34–53.</w:t>
      </w:r>
    </w:p>
    <w:p>
      <w:pPr>
        <w:spacing w:after="100" w:before="0"/>
        <w:ind w:left="480" w:hanging="480"/>
      </w:pPr>
      <w:r>
        <w:rPr>
          <w:rFonts w:ascii="Garamond" w:cs="Garamond" w:eastAsia="Garamond" w:hAnsi="Garamond"/>
          <w:sz w:val="20"/>
          <w:szCs w:val="20"/>
        </w:rPr>
        <w:t xml:space="preserve">Friston, K. (2010). The free-energy principle: a unified brain theory? Nature Reviews Neuroscience, 11(2), 127–138.</w:t>
      </w:r>
    </w:p>
    <w:p>
      <w:pPr>
        <w:spacing w:after="100" w:before="0"/>
        <w:ind w:left="480" w:hanging="480"/>
      </w:pPr>
      <w:r>
        <w:rPr>
          <w:rFonts w:ascii="Garamond" w:cs="Garamond" w:eastAsia="Garamond" w:hAnsi="Garamond"/>
          <w:sz w:val="20"/>
          <w:szCs w:val="20"/>
        </w:rPr>
        <w:t xml:space="preserve">Hannum, G. et al. (2013). Genome-wide methylation profiles reveal quantitative views of human aging rates. Molecular Cell, 49(2), 359–367.</w:t>
      </w:r>
    </w:p>
    <w:p>
      <w:pPr>
        <w:spacing w:after="100" w:before="0"/>
        <w:ind w:left="480" w:hanging="480"/>
      </w:pPr>
      <w:r>
        <w:rPr>
          <w:rFonts w:ascii="Garamond" w:cs="Garamond" w:eastAsia="Garamond" w:hAnsi="Garamond"/>
          <w:sz w:val="20"/>
          <w:szCs w:val="20"/>
        </w:rPr>
        <w:t xml:space="preserve">Hayflick, L. (1965). The limited in vitro lifetime of human diploid cell strains. Experimental Cell Research, 37(3), 614–636.</w:t>
      </w:r>
    </w:p>
    <w:p>
      <w:pPr>
        <w:spacing w:after="100" w:before="0"/>
        <w:ind w:left="480" w:hanging="480"/>
      </w:pPr>
      <w:r>
        <w:rPr>
          <w:rFonts w:ascii="Garamond" w:cs="Garamond" w:eastAsia="Garamond" w:hAnsi="Garamond"/>
          <w:sz w:val="20"/>
          <w:szCs w:val="20"/>
        </w:rPr>
        <w:t xml:space="preserve">Horvath, S. (2013). DNA methylation age of human tissues and cell types. Genome Biology, 14(10), R115.</w:t>
      </w:r>
    </w:p>
    <w:p>
      <w:pPr>
        <w:spacing w:after="100" w:before="0"/>
        <w:ind w:left="480" w:hanging="480"/>
      </w:pPr>
      <w:r>
        <w:rPr>
          <w:rFonts w:ascii="Garamond" w:cs="Garamond" w:eastAsia="Garamond" w:hAnsi="Garamond"/>
          <w:sz w:val="20"/>
          <w:szCs w:val="20"/>
        </w:rPr>
        <w:t xml:space="preserve">Jackson, F. (1982). Epiphenomenal qualia. Philosophical Quarterly, 32(127), 127–136.</w:t>
      </w:r>
    </w:p>
    <w:p>
      <w:pPr>
        <w:spacing w:after="100" w:before="0"/>
        <w:ind w:left="480" w:hanging="480"/>
      </w:pPr>
      <w:r>
        <w:rPr>
          <w:rFonts w:ascii="Garamond" w:cs="Garamond" w:eastAsia="Garamond" w:hAnsi="Garamond"/>
          <w:sz w:val="20"/>
          <w:szCs w:val="20"/>
        </w:rPr>
        <w:t xml:space="preserve">Kauffman, S. A. (2019). A World Beyond Physics: The Emergence and Evolution of Life. Oxford University Press, Oxford.</w:t>
      </w:r>
    </w:p>
    <w:p>
      <w:pPr>
        <w:spacing w:after="100" w:before="0"/>
        <w:ind w:left="480" w:hanging="480"/>
      </w:pPr>
      <w:r>
        <w:rPr>
          <w:rFonts w:ascii="Garamond" w:cs="Garamond" w:eastAsia="Garamond" w:hAnsi="Garamond"/>
          <w:sz w:val="20"/>
          <w:szCs w:val="20"/>
        </w:rPr>
        <w:t xml:space="preserve">Kierkegaard, S. (1849 / 1980). The Sickness Unto Death. Princeton University Press, Princeton.</w:t>
      </w:r>
    </w:p>
    <w:p>
      <w:pPr>
        <w:spacing w:after="100" w:before="0"/>
        <w:ind w:left="480" w:hanging="480"/>
      </w:pPr>
      <w:r>
        <w:rPr>
          <w:rFonts w:ascii="Garamond" w:cs="Garamond" w:eastAsia="Garamond" w:hAnsi="Garamond"/>
          <w:sz w:val="20"/>
          <w:szCs w:val="20"/>
        </w:rPr>
        <w:t xml:space="preserve">Kroemer, G. et al. (2010). Autophagy and the integrated stress response. Molecular Cell, 40(2), 280–293.</w:t>
      </w:r>
    </w:p>
    <w:p>
      <w:pPr>
        <w:spacing w:after="100" w:before="0"/>
        <w:ind w:left="480" w:hanging="480"/>
      </w:pPr>
      <w:r>
        <w:rPr>
          <w:rFonts w:ascii="Garamond" w:cs="Garamond" w:eastAsia="Garamond" w:hAnsi="Garamond"/>
          <w:sz w:val="20"/>
          <w:szCs w:val="20"/>
        </w:rPr>
        <w:t xml:space="preserve">Lamme, V. A. F. (2006). Towards a true neural stance on consciousness. Trends in Cognitive Sciences, 10(11), 494–501.</w:t>
      </w:r>
    </w:p>
    <w:p>
      <w:pPr>
        <w:spacing w:after="100" w:before="0"/>
        <w:ind w:left="480" w:hanging="480"/>
      </w:pPr>
      <w:r>
        <w:rPr>
          <w:rFonts w:ascii="Garamond" w:cs="Garamond" w:eastAsia="Garamond" w:hAnsi="Garamond"/>
          <w:sz w:val="20"/>
          <w:szCs w:val="20"/>
        </w:rPr>
        <w:t xml:space="preserve">Lipton, P. (2004). Inference to the Best Explanation. Second edition. Routledge, London.</w:t>
      </w:r>
    </w:p>
    <w:p>
      <w:pPr>
        <w:spacing w:after="100" w:before="0"/>
        <w:ind w:left="480" w:hanging="480"/>
      </w:pPr>
      <w:r>
        <w:rPr>
          <w:rFonts w:ascii="Garamond" w:cs="Garamond" w:eastAsia="Garamond" w:hAnsi="Garamond"/>
          <w:sz w:val="20"/>
          <w:szCs w:val="20"/>
        </w:rPr>
        <w:t xml:space="preserve">López-Otín, C., Blasco, M. A., Partridge, L., Serrano, M., and Kroemer, G. (2013). The hallmarks of aging. Cell, 153(6), 1194–1217.</w:t>
      </w:r>
    </w:p>
    <w:p>
      <w:pPr>
        <w:spacing w:after="100" w:before="0"/>
        <w:ind w:left="480" w:hanging="480"/>
      </w:pPr>
      <w:r>
        <w:rPr>
          <w:rFonts w:ascii="Garamond" w:cs="Garamond" w:eastAsia="Garamond" w:hAnsi="Garamond"/>
          <w:sz w:val="20"/>
          <w:szCs w:val="20"/>
        </w:rPr>
        <w:t xml:space="preserve">Lutz, A., Greischar, L. L., Rawlings, N. B., Ricard, M., and Davidson, R. J. (2004). Long-term meditators self-induce high-amplitude gamma synchrony during mental practice. PNAS, 101(46), 16369–16373.</w:t>
      </w:r>
    </w:p>
    <w:p>
      <w:pPr>
        <w:spacing w:after="100" w:before="0"/>
        <w:ind w:left="480" w:hanging="480"/>
      </w:pPr>
      <w:r>
        <w:rPr>
          <w:rFonts w:ascii="Garamond" w:cs="Garamond" w:eastAsia="Garamond" w:hAnsi="Garamond"/>
          <w:sz w:val="20"/>
          <w:szCs w:val="20"/>
        </w:rPr>
        <w:t xml:space="preserve">Maturana, H. R. and Varela, F. J. (1980). Autopoiesis and Cognition. D. Reidel, Dordrecht.</w:t>
      </w:r>
    </w:p>
    <w:p>
      <w:pPr>
        <w:spacing w:after="100" w:before="0"/>
        <w:ind w:left="480" w:hanging="480"/>
      </w:pPr>
      <w:r>
        <w:rPr>
          <w:rFonts w:ascii="Garamond" w:cs="Garamond" w:eastAsia="Garamond" w:hAnsi="Garamond"/>
          <w:sz w:val="20"/>
          <w:szCs w:val="20"/>
        </w:rPr>
        <w:t xml:space="preserve">McEwen, B. S. (1998). Stress, adaptation, and disease: allostasis and allostatic load. Annals of the New York Academy of Sciences, 840, 33–44.</w:t>
      </w:r>
    </w:p>
    <w:p>
      <w:pPr>
        <w:spacing w:after="100" w:before="0"/>
        <w:ind w:left="480" w:hanging="480"/>
      </w:pPr>
      <w:r>
        <w:rPr>
          <w:rFonts w:ascii="Garamond" w:cs="Garamond" w:eastAsia="Garamond" w:hAnsi="Garamond"/>
          <w:sz w:val="20"/>
          <w:szCs w:val="20"/>
        </w:rPr>
        <w:t xml:space="preserve">Mizushima, N. and Komatsu, M. (2011). Autophagy: renovation of cells and tissues. Cell, 147(4), 728–741.</w:t>
      </w:r>
    </w:p>
    <w:p>
      <w:pPr>
        <w:spacing w:after="100" w:before="0"/>
        <w:ind w:left="480" w:hanging="480"/>
      </w:pPr>
      <w:r>
        <w:rPr>
          <w:rFonts w:ascii="Garamond" w:cs="Garamond" w:eastAsia="Garamond" w:hAnsi="Garamond"/>
          <w:sz w:val="20"/>
          <w:szCs w:val="20"/>
        </w:rPr>
        <w:t xml:space="preserve">O’Neill, H. M. and Bhardwaj, M. (2020). AMPK and the regulation of autophagy. Essays in Biochemistry, 64, 15–29.</w:t>
      </w:r>
    </w:p>
    <w:p>
      <w:pPr>
        <w:spacing w:after="100" w:before="0"/>
        <w:ind w:left="480" w:hanging="480"/>
      </w:pPr>
      <w:r>
        <w:rPr>
          <w:rFonts w:ascii="Garamond" w:cs="Garamond" w:eastAsia="Garamond" w:hAnsi="Garamond"/>
          <w:sz w:val="20"/>
          <w:szCs w:val="20"/>
        </w:rPr>
        <w:t xml:space="preserve">Ocampo, A. et al. (2016). In vivo amelioration of age-associated hallmarks by partial reprogramming. Cell, 167(7), 1719–1733.</w:t>
      </w:r>
    </w:p>
    <w:p>
      <w:pPr>
        <w:spacing w:after="100" w:before="0"/>
        <w:ind w:left="480" w:hanging="480"/>
      </w:pPr>
      <w:r>
        <w:rPr>
          <w:rFonts w:ascii="Garamond" w:cs="Garamond" w:eastAsia="Garamond" w:hAnsi="Garamond"/>
          <w:sz w:val="20"/>
          <w:szCs w:val="20"/>
        </w:rPr>
        <w:t xml:space="preserve">Putnam, H. (1967). Psychological predicates. In W. H. Capitan and D. D. Merrill (eds.), Art, Mind, and Religion. University of Pittsburgh Press.</w:t>
      </w:r>
    </w:p>
    <w:p>
      <w:pPr>
        <w:spacing w:after="100" w:before="0"/>
        <w:ind w:left="480" w:hanging="480"/>
      </w:pPr>
      <w:r>
        <w:rPr>
          <w:rFonts w:ascii="Garamond" w:cs="Garamond" w:eastAsia="Garamond" w:hAnsi="Garamond"/>
          <w:sz w:val="20"/>
          <w:szCs w:val="20"/>
        </w:rPr>
        <w:t xml:space="preserve">Rubinsztein, D. C., Mariño, G., and Kroemer, G. (2011). Autophagy and aging. Cell, 146(5), 682–695.</w:t>
      </w:r>
    </w:p>
    <w:p>
      <w:pPr>
        <w:spacing w:after="100" w:before="0"/>
        <w:ind w:left="480" w:hanging="480"/>
      </w:pPr>
      <w:r>
        <w:rPr>
          <w:rFonts w:ascii="Garamond" w:cs="Garamond" w:eastAsia="Garamond" w:hAnsi="Garamond"/>
          <w:sz w:val="20"/>
          <w:szCs w:val="20"/>
        </w:rPr>
        <w:t xml:space="preserve">Savolainen, K. et al. (2014). Associations between depressive symptoms and leukocyte telomere length. Brain, Behavior, and Immunity, 36, 51–56.</w:t>
      </w:r>
    </w:p>
    <w:p>
      <w:pPr>
        <w:spacing w:after="100" w:before="0"/>
        <w:ind w:left="480" w:hanging="480"/>
      </w:pPr>
      <w:r>
        <w:rPr>
          <w:rFonts w:ascii="Garamond" w:cs="Garamond" w:eastAsia="Garamond" w:hAnsi="Garamond"/>
          <w:sz w:val="20"/>
          <w:szCs w:val="20"/>
        </w:rPr>
        <w:t xml:space="preserve">Searle, J. R. (1980). Minds, brains, and programs. Behavioral and Brain Sciences, 3(3), 417–424.</w:t>
      </w:r>
    </w:p>
    <w:p>
      <w:pPr>
        <w:spacing w:after="100" w:before="0"/>
        <w:ind w:left="480" w:hanging="480"/>
      </w:pPr>
      <w:r>
        <w:rPr>
          <w:rFonts w:ascii="Garamond" w:cs="Garamond" w:eastAsia="Garamond" w:hAnsi="Garamond"/>
          <w:sz w:val="20"/>
          <w:szCs w:val="20"/>
        </w:rPr>
        <w:t xml:space="preserve">Seeman, T. E. et al. (2001). Allostatic load as a marker of cumulative biological risk. Proceedings of the National Academy of Sciences, 98(8), 4770–4775.</w:t>
      </w:r>
    </w:p>
    <w:p>
      <w:pPr>
        <w:spacing w:after="100" w:before="0"/>
        <w:ind w:left="480" w:hanging="480"/>
      </w:pPr>
      <w:r>
        <w:rPr>
          <w:rFonts w:ascii="Garamond" w:cs="Garamond" w:eastAsia="Garamond" w:hAnsi="Garamond"/>
          <w:sz w:val="20"/>
          <w:szCs w:val="20"/>
        </w:rPr>
        <w:t xml:space="preserve">Sinclair, D. A. (2019). Lifespan: Why We Age — and Why We Don’t Have To. Atria Books, New York.</w:t>
      </w:r>
    </w:p>
    <w:p>
      <w:pPr>
        <w:spacing w:after="100" w:before="0"/>
        <w:ind w:left="480" w:hanging="480"/>
      </w:pPr>
      <w:r>
        <w:rPr>
          <w:rFonts w:ascii="Garamond" w:cs="Garamond" w:eastAsia="Garamond" w:hAnsi="Garamond"/>
          <w:sz w:val="20"/>
          <w:szCs w:val="20"/>
        </w:rPr>
        <w:t xml:space="preserve">Takahashi, K. and Yamanaka, S. (2006). Induction of pluripotent stem cells from mouse embryonic and adult fibroblast cultures by defined factors. Cell, 126(4), 663–676.</w:t>
      </w:r>
    </w:p>
    <w:p>
      <w:pPr>
        <w:spacing w:after="100" w:before="0"/>
        <w:ind w:left="480" w:hanging="480"/>
      </w:pPr>
      <w:r>
        <w:rPr>
          <w:rFonts w:ascii="Garamond" w:cs="Garamond" w:eastAsia="Garamond" w:hAnsi="Garamond"/>
          <w:sz w:val="20"/>
          <w:szCs w:val="20"/>
        </w:rPr>
        <w:t xml:space="preserve">Tononi, G. and Koch, C. (2015). Consciousness: here, there and everywhere? Philosophical Transactions of the Royal Society B, 370(1668), 20140167.</w:t>
      </w:r>
    </w:p>
    <w:p>
      <w:pPr>
        <w:spacing w:after="100" w:before="0"/>
        <w:ind w:left="480" w:hanging="480"/>
      </w:pPr>
      <w:r>
        <w:rPr>
          <w:rFonts w:ascii="Garamond" w:cs="Garamond" w:eastAsia="Garamond" w:hAnsi="Garamond"/>
          <w:sz w:val="20"/>
          <w:szCs w:val="20"/>
        </w:rPr>
        <w:t xml:space="preserve">Upanishads (c. 800–200 BCE / 1996). The Principal Upanishads. HarperCollins India, New Delhi.</w:t>
      </w:r>
    </w:p>
    <w:p>
      <w:pPr>
        <w:spacing w:after="100" w:before="0"/>
        <w:ind w:left="480" w:hanging="480"/>
      </w:pPr>
      <w:r>
        <w:rPr>
          <w:rFonts w:ascii="Garamond" w:cs="Garamond" w:eastAsia="Garamond" w:hAnsi="Garamond"/>
          <w:sz w:val="20"/>
          <w:szCs w:val="20"/>
        </w:rPr>
        <w:t xml:space="preserve">von Neumann, J. (1932 / 1955). Mathematical Foundations of Quantum Mechanics. Princeton University Press, Princeton.</w:t>
      </w:r>
    </w:p>
    <w:p>
      <w:pPr>
        <w:spacing w:after="100" w:before="0"/>
        <w:ind w:left="480" w:hanging="480"/>
      </w:pPr>
      <w:r>
        <w:rPr>
          <w:rFonts w:ascii="Garamond" w:cs="Garamond" w:eastAsia="Garamond" w:hAnsi="Garamond"/>
          <w:sz w:val="20"/>
          <w:szCs w:val="20"/>
        </w:rPr>
        <w:t xml:space="preserve">Wittgenstein, L. (1921 / 1961). Tractatus Logico-Philosophicus. Routledge, London.</w:t>
      </w:r>
    </w:p>
    <w:p>
      <w:pPr>
        <w:spacing w:after="100" w:before="0"/>
        <w:ind w:left="480" w:hanging="480"/>
      </w:pPr>
      <w:r>
        <w:rPr>
          <w:rFonts w:ascii="Garamond" w:cs="Garamond" w:eastAsia="Garamond" w:hAnsi="Garamond"/>
          <w:sz w:val="20"/>
          <w:szCs w:val="20"/>
        </w:rPr>
        <w:t xml:space="preserve">Wittgenstein, L. (1953). Philosophical Investigations. Blackwell, Oxford.</w:t>
      </w:r>
    </w:p>
    <w:p>
      <w:pPr>
        <w:spacing w:after="100" w:before="0"/>
        <w:ind w:left="480" w:hanging="480"/>
      </w:pPr>
      <w:r>
        <w:rPr>
          <w:rFonts w:ascii="Garamond" w:cs="Garamond" w:eastAsia="Garamond" w:hAnsi="Garamond"/>
          <w:sz w:val="20"/>
          <w:szCs w:val="20"/>
        </w:rPr>
        <w:t xml:space="preserve">Youden, W. J. (1950). Index for rating diagnostic tests. Cancer, 3(1), 32–35.</w:t>
      </w:r>
    </w:p>
    <w:p>
      <w:pPr>
        <w:spacing w:after="100" w:before="0"/>
        <w:ind w:left="480" w:hanging="480"/>
      </w:pPr>
      <w:r>
        <w:rPr>
          <w:rFonts w:ascii="Garamond" w:cs="Garamond" w:eastAsia="Garamond" w:hAnsi="Garamond"/>
          <w:sz w:val="20"/>
          <w:szCs w:val="20"/>
        </w:rPr>
        <w:t xml:space="preserve">Zannas, A. S. et al. (2015). Lifetime stress accelerates epigenetic aging in an urban, African American cohort. Genome Biology, 16(1), 166.</w:t>
      </w:r>
    </w:p>
    <w:p>
      <w:pPr>
        <w:spacing w:after="100" w:before="0"/>
        <w:ind w:left="480" w:hanging="480"/>
      </w:pPr>
      <w:r>
        <w:rPr>
          <w:rFonts w:ascii="Garamond" w:cs="Garamond" w:eastAsia="Garamond" w:hAnsi="Garamond"/>
          <w:sz w:val="20"/>
          <w:szCs w:val="20"/>
        </w:rPr>
        <w:t xml:space="preserve">Ziegler, D. V., Wiley, C. D., and Velarde, M. C. (2015). Mitochondrial effectors of cellular senescence. EMBO Reports, 16(11), 1476–1487.</w:t>
      </w:r>
    </w:p>
    <w:p>
      <w:pPr>
        <w:spacing w:after="200"/>
      </w:pPr>
      <w:r>
        <w:t xml:space="preserve"/>
      </w:r>
    </w:p>
    <w:p>
      <w:pPr>
        <w:spacing w:after="0" w:before="400"/>
        <w:jc w:val="center"/>
      </w:pPr>
      <w:r>
        <w:rPr>
          <w:rFonts w:ascii="Garamond" w:cs="Garamond" w:eastAsia="Garamond" w:hAnsi="Garamond"/>
          <w:i/>
          <w:iCs/>
          <w:color w:val="4A5568"/>
          <w:sz w:val="20"/>
          <w:szCs w:val="20"/>
        </w:rPr>
        <w:t xml:space="preserve">Filosofia das Virtudes  ·  José Caetano de Mattos</w:t>
      </w:r>
    </w:p>
    <w:p>
      <w:pPr>
        <w:spacing w:after="0" w:before="0"/>
        <w:jc w:val="center"/>
      </w:pPr>
      <w:r>
        <w:rPr>
          <w:rFonts w:ascii="Garamond" w:cs="Garamond" w:eastAsia="Garamond" w:hAnsi="Garamond"/>
          <w:i/>
          <w:iCs/>
          <w:color w:val="4A5568"/>
          <w:sz w:val="18"/>
          <w:szCs w:val="18"/>
        </w:rPr>
        <w:t xml:space="preserve">Rio de Janeiro, 2023  ·  Merano, 2026  ·  Third Edition</w:t>
      </w:r>
    </w:p>
    <w:sectPr>
      <w:headerReference w:type="default" r:id="rId7"/>
      <w:footerReference w:type="default" r:id="rId8"/>
      <w:pgSz w:w="11906" w:h="16838" w:orient="portrait"/>
      <w:pgMar w:top="1440" w:right="1400" w:bottom="1440" w:left="14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0" w:sz="2"/>
      </w:pBdr>
      <w:spacing w:before="80"/>
      <w:jc w:val="center"/>
    </w:pPr>
    <w:r>
      <w:rPr>
        <w:rFonts w:ascii="Garamond" w:cs="Garamond" w:eastAsia="Garamond" w:hAnsi="Garamond"/>
        <w:color w:val="4A5568"/>
        <w:sz w:val="18"/>
        <w:szCs w:val="18"/>
      </w:rPr>
      <w:t xml:space="preserve">Page </w:t>
    </w:r>
    <w:r>
      <w:rPr>
        <w:rFonts w:ascii="Garamond" w:cs="Garamond" w:eastAsia="Garamond" w:hAnsi="Garamond"/>
        <w:color w:val="4A556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972A" w:sz="4"/>
      </w:pBdr>
      <w:spacing w:after="0"/>
      <w:jc w:val="right"/>
    </w:pPr>
    <w:r>
      <w:rPr>
        <w:rFonts w:ascii="Garamond" w:cs="Garamond" w:eastAsia="Garamond" w:hAnsi="Garamond"/>
        <w:i/>
        <w:iCs/>
        <w:color w:val="4A5568"/>
        <w:sz w:val="18"/>
        <w:szCs w:val="18"/>
      </w:rPr>
      <w:t xml:space="preserve">The Immortality Theorem  ·  Filosofia das Virtudes  ·  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480"/>
      <w:outlineLvl w:val="0"/>
    </w:pPr>
    <w:rPr>
      <w:rFonts w:ascii="Garamond" w:cs="Garamond" w:eastAsia="Garamond" w:hAnsi="Garamond"/>
      <w:b/>
      <w:bCs/>
      <w:caps/>
      <w:color w:val="1B2A4A"/>
      <w:sz w:val="34"/>
      <w:szCs w:val="34"/>
    </w:rPr>
  </w:style>
  <w:style w:type="paragraph" w:styleId="Heading2">
    <w:name w:val="Heading 2"/>
    <w:basedOn w:val="Normal"/>
    <w:next w:val="Normal"/>
    <w:qFormat/>
    <w:pPr>
      <w:spacing w:after="120" w:before="320"/>
      <w:outlineLvl w:val="1"/>
    </w:pPr>
    <w:rPr>
      <w:rFonts w:ascii="Garamond" w:cs="Garamond" w:eastAsia="Garamond" w:hAnsi="Garamond"/>
      <w:b/>
      <w:bCs/>
      <w:color w:val="1B2A4A"/>
      <w:sz w:val="27"/>
      <w:szCs w:val="27"/>
    </w:rPr>
  </w:style>
  <w:style w:type="paragraph" w:styleId="Heading3">
    <w:name w:val="Heading 3"/>
    <w:basedOn w:val="Normal"/>
    <w:next w:val="Normal"/>
    <w:qFormat/>
    <w:pPr>
      <w:spacing w:after="80" w:before="240"/>
      <w:outlineLvl w:val="2"/>
    </w:pPr>
    <w:rPr>
      <w:rFonts w:ascii="Garamond" w:cs="Garamond" w:eastAsia="Garamond" w:hAnsi="Garamond"/>
      <w:b/>
      <w:bCs/>
      <w:i/>
      <w:i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2026-05-12T21:30:05.316Z</dcterms:created>
  <dcterms:modified xsi:type="dcterms:W3CDTF">2026-05-12T21:30:05.337Z</dcterms:modified>
</cp:coreProperties>
</file>

<file path=docProps/custom.xml><?xml version="1.0" encoding="utf-8"?>
<Properties xmlns="http://schemas.openxmlformats.org/officeDocument/2006/custom-properties" xmlns:vt="http://schemas.openxmlformats.org/officeDocument/2006/docPropsVTypes"/>
</file>