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60"/>
      </w:pPr>
      <w:r>
        <w:rPr>
          <w:rFonts w:ascii="Garamond" w:cs="Garamond" w:eastAsia="Garamond" w:hAnsi="Garamond"/>
          <w:color w:val="1A1A18"/>
          <w:sz w:val="22"/>
          <w:szCs w:val="22"/>
        </w:rPr>
        <w:t xml:space="preserve"/>
      </w:r>
    </w:p>
    <w:p>
      <w:pPr>
        <w:spacing w:after="50" w:before="0"/>
        <w:jc w:val="center"/>
      </w:pPr>
      <w:r>
        <w:rPr>
          <w:rFonts w:ascii="Garamond" w:cs="Garamond" w:eastAsia="Garamond" w:hAnsi="Garamond"/>
          <w:b/>
          <w:bCs/>
          <w:color w:val="1B3A2D"/>
          <w:sz w:val="38"/>
          <w:szCs w:val="38"/>
        </w:rPr>
        <w:t xml:space="preserve">VIRTUDES, LIBERDADE E O HUMANO</w:t>
      </w:r>
    </w:p>
    <w:p>
      <w:pPr>
        <w:spacing w:after="40" w:before="0"/>
        <w:jc w:val="center"/>
      </w:pPr>
      <w:r>
        <w:rPr>
          <w:rFonts w:ascii="Garamond" w:cs="Garamond" w:eastAsia="Garamond" w:hAnsi="Garamond"/>
          <w:i/>
          <w:iCs/>
          <w:color w:val="4E4840"/>
          <w:sz w:val="23"/>
          <w:szCs w:val="23"/>
        </w:rPr>
        <w:t xml:space="preserve">Novas Conexões, Correlações e Ideias Originais</w:t>
      </w:r>
    </w:p>
    <w:p>
      <w:pPr>
        <w:pBdr>
          <w:bottom w:val="single" w:color="7A5A0F" w:sz="4" w:space="0"/>
        </w:pBdr>
        <w:spacing w:after="80" w:before="80"/>
      </w:pPr>
    </w:p>
    <w:p>
      <w:pPr>
        <w:spacing w:after="0" w:before="60"/>
      </w:pPr>
      <w:r>
        <w:rPr>
          <w:rFonts w:ascii="Garamond" w:cs="Garamond" w:eastAsia="Garamond" w:hAnsi="Garamond"/>
          <w:color w:val="1A1A18"/>
          <w:sz w:val="22"/>
          <w:szCs w:val="22"/>
        </w:rPr>
        <w:t xml:space="preserve"/>
      </w:r>
    </w:p>
    <w:p>
      <w:pPr>
        <w:spacing w:after="30" w:before="0"/>
        <w:jc w:val="center"/>
      </w:pPr>
      <w:r>
        <w:rPr>
          <w:rFonts w:ascii="Garamond" w:cs="Garamond" w:eastAsia="Garamond" w:hAnsi="Garamond"/>
          <w:i/>
          <w:iCs/>
          <w:color w:val="4E4840"/>
          <w:sz w:val="18"/>
          <w:szCs w:val="18"/>
        </w:rPr>
        <w:t xml:space="preserve">Um resumo educativo e comparativo a partir da</w:t>
      </w:r>
    </w:p>
    <w:p>
      <w:pPr>
        <w:spacing w:after="30" w:before="0"/>
        <w:jc w:val="center"/>
      </w:pPr>
      <w:r>
        <w:rPr>
          <w:rFonts w:ascii="Garamond" w:cs="Garamond" w:eastAsia="Garamond" w:hAnsi="Garamond"/>
          <w:i/>
          <w:iCs/>
          <w:color w:val="1B3A2D"/>
          <w:sz w:val="22"/>
          <w:szCs w:val="22"/>
        </w:rPr>
        <w:t xml:space="preserve">Filosofia das Virtudes</w:t>
      </w:r>
    </w:p>
    <w:p>
      <w:pPr>
        <w:spacing w:after="30" w:before="0"/>
        <w:jc w:val="center"/>
      </w:pPr>
      <w:r>
        <w:rPr>
          <w:rFonts w:ascii="Garamond" w:cs="Garamond" w:eastAsia="Garamond" w:hAnsi="Garamond"/>
          <w:i/>
          <w:iCs/>
          <w:color w:val="4E4840"/>
          <w:sz w:val="18"/>
          <w:szCs w:val="18"/>
        </w:rPr>
        <w:t xml:space="preserve">de José Caetano de Mattos  ·  Rio de Janeiro, 2023</w:t>
      </w:r>
    </w:p>
    <w:p>
      <w:pPr>
        <w:spacing w:after="0" w:before="60"/>
      </w:pPr>
      <w:r>
        <w:rPr>
          <w:rFonts w:ascii="Garamond" w:cs="Garamond" w:eastAsia="Garamond" w:hAnsi="Garamond"/>
          <w:color w:val="1A1A18"/>
          <w:sz w:val="22"/>
          <w:szCs w:val="22"/>
        </w:rPr>
        <w:t xml:space="preserve"/>
      </w:r>
    </w:p>
    <w:p>
      <w:pPr>
        <w:spacing w:after="20" w:before="0"/>
        <w:jc w:val="center"/>
      </w:pPr>
      <w:r>
        <w:rPr>
          <w:rFonts w:ascii="Garamond" w:cs="Garamond" w:eastAsia="Garamond" w:hAnsi="Garamond"/>
          <w:color w:val="8A8278"/>
          <w:sz w:val="17"/>
          <w:szCs w:val="17"/>
        </w:rPr>
        <w:t xml:space="preserve">e dos 40 artigos científicos revisados</w:t>
      </w:r>
    </w:p>
    <w:p>
      <w:pPr>
        <w:spacing w:after="0" w:before="0"/>
        <w:jc w:val="center"/>
      </w:pPr>
      <w:r>
        <w:rPr>
          <w:rFonts w:ascii="Garamond" w:cs="Garamond" w:eastAsia="Garamond" w:hAnsi="Garamond"/>
          <w:color w:val="8A8278"/>
          <w:sz w:val="16"/>
          <w:szCs w:val="16"/>
        </w:rPr>
        <w:t xml:space="preserve">PubMed · Scopus · Web of Science · Nature · Frontiers · APA · Wiley · Springer</w:t>
      </w:r>
    </w:p>
    <w:p>
      <w:pPr>
        <w:spacing w:after="0" w:before="220"/>
      </w:pPr>
      <w:r>
        <w:rPr>
          <w:rFonts w:ascii="Garamond" w:cs="Garamond" w:eastAsia="Garamond" w:hAnsi="Garamond"/>
          <w:color w:val="1A1A18"/>
          <w:sz w:val="22"/>
          <w:szCs w:val="22"/>
        </w:rPr>
        <w:t xml:space="preserve"/>
      </w:r>
    </w:p>
    <w:p>
      <w:pPr>
        <w:spacing w:after="0" w:before="0"/>
        <w:jc w:val="center"/>
      </w:pPr>
      <w:r>
        <w:rPr>
          <w:rFonts w:ascii="Garamond" w:cs="Garamond" w:eastAsia="Garamond" w:hAnsi="Garamond"/>
          <w:color w:val="8A8278"/>
          <w:sz w:val="17"/>
          <w:szCs w:val="17"/>
        </w:rPr>
        <w:t xml:space="preserve">Abril de 2026</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5"/>
        </w:pBdr>
        <w:spacing w:after="80" w:before="0"/>
      </w:pPr>
      <w:r>
        <w:rPr>
          <w:rFonts w:ascii="Garamond" w:cs="Garamond" w:eastAsia="Garamond" w:hAnsi="Garamond"/>
          <w:b/>
          <w:bCs/>
          <w:color w:val="1B3A2D"/>
          <w:sz w:val="27"/>
          <w:szCs w:val="27"/>
        </w:rPr>
        <w:t xml:space="preserve">Prefácio: Escopo e Propósito</w:t>
      </w:r>
    </w:p>
    <w:p>
      <w:pPr>
        <w:spacing w:after="190" w:before="0" w:line="290" w:lineRule="auto"/>
        <w:jc w:val="both"/>
      </w:pPr>
      <w:r>
        <w:rPr>
          <w:rFonts w:ascii="Garamond" w:cs="Garamond" w:eastAsia="Garamond" w:hAnsi="Garamond"/>
          <w:color w:val="1A1A18"/>
          <w:sz w:val="22"/>
          <w:szCs w:val="22"/>
        </w:rPr>
        <w:t xml:space="preserve">Este documento representa a síntese final de um projecto intelectual de largo alcance: a comparação sistemática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de José Caetano de Mattos com quarenta artigos científicos de referência publicados nas principais bases de dados académicas mundiais entre 2004 e 2026. O trabalho atravessou a filosofia moral, a neurociência, a psicologia positiva, a teologia comparada, as ciências políticas e a antropologia cultural.</w:t>
      </w:r>
    </w:p>
    <w:p>
      <w:pPr>
        <w:spacing w:after="190" w:before="0" w:line="290" w:lineRule="auto"/>
        <w:jc w:val="both"/>
      </w:pPr>
      <w:r>
        <w:rPr>
          <w:rFonts w:ascii="Garamond" w:cs="Garamond" w:eastAsia="Garamond" w:hAnsi="Garamond"/>
          <w:color w:val="1A1A18"/>
          <w:sz w:val="22"/>
          <w:szCs w:val="22"/>
        </w:rPr>
        <w:t xml:space="preserve">Os capítulos anteriores identificaram convergências (onde a ciência confirma o livro), afastamentos (onde o livro vai além da ciência) e originalidades (posições sem precedentes em nenhuma tradição anterior). Este documento vai mais fundo: identifica </w:t>
      </w:r>
      <w:r>
        <w:rPr>
          <w:rFonts w:ascii="Garamond" w:cs="Garamond" w:eastAsia="Garamond" w:hAnsi="Garamond"/>
          <w:b/>
          <w:bCs/>
          <w:color w:val="1A1A18"/>
          <w:sz w:val="22"/>
          <w:szCs w:val="22"/>
        </w:rPr>
        <w:t xml:space="preserve">novas conexões</w:t>
      </w:r>
      <w:r>
        <w:rPr>
          <w:rFonts w:ascii="Garamond" w:cs="Garamond" w:eastAsia="Garamond" w:hAnsi="Garamond"/>
          <w:color w:val="1A1A18"/>
          <w:sz w:val="22"/>
          <w:szCs w:val="22"/>
        </w:rPr>
        <w:t xml:space="preserve"> — ligações entre ideias provenientes de fontes distintas que nenhuma delas estabeleceu por si só — e </w:t>
      </w:r>
      <w:r>
        <w:rPr>
          <w:rFonts w:ascii="Garamond" w:cs="Garamond" w:eastAsia="Garamond" w:hAnsi="Garamond"/>
          <w:b/>
          <w:bCs/>
          <w:color w:val="1A1A18"/>
          <w:sz w:val="22"/>
          <w:szCs w:val="22"/>
        </w:rPr>
        <w:t xml:space="preserve">correlações emergentes</w:t>
      </w:r>
      <w:r>
        <w:rPr>
          <w:rFonts w:ascii="Garamond" w:cs="Garamond" w:eastAsia="Garamond" w:hAnsi="Garamond"/>
          <w:color w:val="1A1A18"/>
          <w:sz w:val="22"/>
          <w:szCs w:val="22"/>
        </w:rPr>
        <w:t xml:space="preserve"> — padrões que aparecem de forma independente em múltiplas tradições e que só se tornam visíveis quando as fontes são lidas em conjunto.</w:t>
      </w:r>
    </w:p>
    <w:p>
      <w:pPr>
        <w:spacing w:after="190" w:before="0" w:line="290" w:lineRule="auto"/>
        <w:jc w:val="both"/>
      </w:pPr>
      <w:r>
        <w:rPr>
          <w:rFonts w:ascii="Garamond" w:cs="Garamond" w:eastAsia="Garamond" w:hAnsi="Garamond"/>
          <w:color w:val="1A1A18"/>
          <w:sz w:val="22"/>
          <w:szCs w:val="22"/>
        </w:rPr>
        <w:t xml:space="preserve">O resultado é um mapa intelectual que nenhum dos documentos originais, tomado isoladamente, poderia produzir.</w:t>
      </w:r>
    </w:p>
    <w:p>
      <w:pPr>
        <w:pageBreakBefore/>
      </w:pPr>
      <w:r>
        <w:rPr>
          <w:rFonts w:ascii="Garamond" w:cs="Garamond" w:eastAsia="Garamond" w:hAnsi="Garamond"/>
          <w:color w:val="1A1A18"/>
          <w:sz w:val="22"/>
          <w:szCs w:val="22"/>
        </w:rPr>
        <w:t xml:space="preserve"/>
      </w:r>
    </w:p>
    <w:p>
      <w:pPr>
        <w:spacing w:after="30" w:before="50"/>
        <w:jc w:val="center"/>
      </w:pPr>
      <w:r>
        <w:rPr>
          <w:rFonts w:ascii="Garamond" w:cs="Garamond" w:eastAsia="Garamond" w:hAnsi="Garamond"/>
          <w:b/>
          <w:bCs/>
          <w:color w:val="8A8278"/>
          <w:sz w:val="19"/>
          <w:szCs w:val="19"/>
        </w:rPr>
        <w:t xml:space="preserve">PARTE  I</w:t>
      </w:r>
    </w:p>
    <w:p>
      <w:pPr>
        <w:spacing w:after="0" w:before="0"/>
        <w:jc w:val="center"/>
      </w:pPr>
      <w:r>
        <w:rPr>
          <w:rFonts w:ascii="Garamond" w:cs="Garamond" w:eastAsia="Garamond" w:hAnsi="Garamond"/>
          <w:b/>
          <w:bCs/>
          <w:color w:val="1B3A2D"/>
          <w:sz w:val="30"/>
          <w:szCs w:val="30"/>
        </w:rPr>
        <w:t xml:space="preserve">NOVAS CONEXÕES</w:t>
      </w:r>
    </w:p>
    <w:p>
      <w:pPr>
        <w:spacing w:after="0" w:before="8"/>
        <w:jc w:val="center"/>
      </w:pPr>
      <w:r>
        <w:rPr>
          <w:rFonts w:ascii="Garamond" w:cs="Garamond" w:eastAsia="Garamond" w:hAnsi="Garamond"/>
          <w:i/>
          <w:iCs/>
          <w:color w:val="4E4840"/>
          <w:sz w:val="18"/>
          <w:szCs w:val="18"/>
        </w:rPr>
        <w:t xml:space="preserve">Ligações entre ideias que nenhuma fonte estabeleceu isoladamente</w:t>
      </w:r>
    </w:p>
    <w:p>
      <w:pPr>
        <w:pBdr>
          <w:bottom w:val="single" w:color="1B3A2D" w:sz="3" w:space="0"/>
        </w:pBdr>
        <w:spacing w:after="80" w:before="80"/>
      </w:pP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Conexão 1</w:t>
      </w:r>
    </w:p>
    <w:p>
      <w:pPr>
        <w:pStyle w:val="Heading1"/>
        <w:pBdr>
          <w:bottom w:val="single" w:color="1B3A2D" w:sz="4" w:space="5"/>
        </w:pBdr>
        <w:spacing w:after="80" w:before="0"/>
      </w:pPr>
      <w:r>
        <w:rPr>
          <w:rFonts w:ascii="Garamond" w:cs="Garamond" w:eastAsia="Garamond" w:hAnsi="Garamond"/>
          <w:b/>
          <w:bCs/>
          <w:color w:val="1B3A2D"/>
          <w:sz w:val="27"/>
          <w:szCs w:val="27"/>
        </w:rPr>
        <w:t xml:space="preserve">1.  A Unificação do Percurso Neurológico e da Filosofia Moral</w:t>
      </w:r>
    </w:p>
    <w:p>
      <w:pPr>
        <w:spacing w:after="190" w:before="0" w:line="290" w:lineRule="auto"/>
        <w:jc w:val="both"/>
      </w:pPr>
      <w:r>
        <w:rPr>
          <w:rFonts w:ascii="Garamond" w:cs="Garamond" w:eastAsia="Garamond" w:hAnsi="Garamond"/>
          <w:color w:val="1A1A18"/>
          <w:sz w:val="22"/>
          <w:szCs w:val="22"/>
        </w:rPr>
        <w:t xml:space="preserve">A neurociência da gratidão (Karns et al., 2017; Kyeong et al., 2017; Hazlett et al., 2021) e a tradição filosófica das virtudes (Aristóteles, Aquino,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desenvolveram-se em paralelo, sem diálogo directo. Quando lidas em conjunto, revelam uma estrutura comum: a prática virtuosa reconfigura a arquitectura neural do cérebro da mesma forma que o hábito moral, tal como descrito por Aristóteles, reconfigura a arquitectura do carácter.</w:t>
      </w:r>
    </w:p>
    <w:p>
      <w:pPr>
        <w:spacing w:after="190" w:before="0" w:line="290" w:lineRule="auto"/>
        <w:jc w:val="both"/>
      </w:pPr>
      <w:r>
        <w:rPr>
          <w:rFonts w:ascii="Garamond" w:cs="Garamond" w:eastAsia="Garamond" w:hAnsi="Garamond"/>
          <w:color w:val="1A1A18"/>
          <w:sz w:val="22"/>
          <w:szCs w:val="22"/>
        </w:rPr>
        <w:t xml:space="preserve">O circuito neurológico identificado por Karns et al. — gratidão → ativação do córtex pré-frontal ventromedial (VMPFC) e núcleo accumbens → aumento do altruísmo puro — é a transcrição biológica exacta do que a filosofia clássica descreve como virtude gerando virtude: uma virtude praticada sistematicamente fortalece todas as virtudes adjacentes.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denomina este fenómeno </w:t>
      </w:r>
      <w:r>
        <w:rPr>
          <w:rFonts w:ascii="Garamond" w:cs="Garamond" w:eastAsia="Garamond" w:hAnsi="Garamond"/>
          <w:i/>
          <w:iCs/>
          <w:color w:val="4E4840"/>
          <w:sz w:val="22"/>
          <w:szCs w:val="22"/>
        </w:rPr>
        <w:t xml:space="preserve">Gioia</w:t>
      </w:r>
      <w:r>
        <w:rPr>
          <w:rFonts w:ascii="Garamond" w:cs="Garamond" w:eastAsia="Garamond" w:hAnsi="Garamond"/>
          <w:color w:val="1A1A18"/>
          <w:sz w:val="22"/>
          <w:szCs w:val="22"/>
        </w:rPr>
        <w:t xml:space="preserve"> — o estado dinâmico das virtudes em execução. A neurociência denomina-o remodelação do circuito de recompensa. São o mesmo processo descrito em linguagens diferentes.</w:t>
      </w:r>
    </w:p>
    <w:p>
      <w:pPr>
        <w:spacing w:after="0" w:before="120"/>
      </w:pPr>
      <w:r>
        <w:rPr>
          <w:rFonts w:ascii="Garamond" w:cs="Garamond" w:eastAsia="Garamond" w:hAnsi="Garamond"/>
          <w:color w:val="1A1A18"/>
          <w:sz w:val="22"/>
          <w:szCs w:val="22"/>
        </w:rPr>
        <w:t xml:space="preserve"/>
      </w:r>
    </w:p>
    <w:p>
      <w:pPr>
        <w:pBdr>
          <w:left w:val="thick" w:color="7A5A0F" w:sz="14" w:space="9"/>
        </w:pBdr>
        <w:spacing w:after="0" w:before="0"/>
        <w:ind w:left="380" w:right="180"/>
        <w:jc w:val="both"/>
      </w:pPr>
      <w:r>
        <w:rPr>
          <w:rFonts w:ascii="Garamond" w:cs="Garamond" w:eastAsia="Garamond" w:hAnsi="Garamond"/>
          <w:i/>
          <w:iCs/>
          <w:color w:val="1B3A2D"/>
          <w:sz w:val="20"/>
          <w:szCs w:val="20"/>
        </w:rPr>
        <w:t xml:space="preserve">“O inconsciente é um aliado programável. A oração, a meditação, a visualização e a auto-sugestão são instrumentos de precisão para reconfigurar a orientação inconsciente do cérebro em direcção às Virtudes.”</w:t>
      </w:r>
    </w:p>
    <w:p>
      <w:pPr>
        <w:spacing w:after="120" w:before="10"/>
        <w:ind w:right="180"/>
        <w:jc w:val="right"/>
      </w:pPr>
      <w:r>
        <w:rPr>
          <w:rFonts w:ascii="Garamond" w:cs="Garamond" w:eastAsia="Garamond" w:hAnsi="Garamond"/>
          <w:i/>
          <w:iCs/>
          <w:color w:val="8A8278"/>
          <w:sz w:val="16"/>
          <w:szCs w:val="16"/>
        </w:rPr>
        <w:t xml:space="preserve">— Filosofia das Virtudes, Cap. I (paráfrase)</w:t>
      </w:r>
    </w:p>
    <w:p>
      <w:pPr>
        <w:spacing w:after="190" w:before="0" w:line="290" w:lineRule="auto"/>
        <w:jc w:val="both"/>
      </w:pPr>
      <w:r>
        <w:rPr>
          <w:rFonts w:ascii="Garamond" w:cs="Garamond" w:eastAsia="Garamond" w:hAnsi="Garamond"/>
          <w:color w:val="1A1A18"/>
          <w:sz w:val="22"/>
          <w:szCs w:val="22"/>
        </w:rPr>
        <w:t xml:space="preserve">Esta conexão gera uma hipótese nova: se a Gioia é o correlato fenomenológico da activação do VMPFC durante acção virtuosa livremente escolhida, então a meditação específica das virtudes proposta no livro (a Meditação do Coração) deveria produzir padrões distintos de conectividade funcional comparada à meditação de mindfulness genérica — nomeadamente, maior activação do VMPFC e menor activação da Default Mode Network. Esta hipótese é testável com tecnologia fMRI existente e ainda não foi submetida a qualquer ensaio.</w:t>
      </w:r>
    </w:p>
    <w:p>
      <w:pPr>
        <w:pStyle w:val="Heading2"/>
        <w:spacing w:after="60" w:before="230"/>
      </w:pPr>
      <w:r>
        <w:rPr>
          <w:rFonts w:ascii="Garamond" w:cs="Garamond" w:eastAsia="Garamond" w:hAnsi="Garamond"/>
          <w:b/>
          <w:bCs/>
          <w:color w:val="2E5E42"/>
          <w:sz w:val="23"/>
          <w:szCs w:val="23"/>
        </w:rPr>
        <w:t xml:space="preserve">1.1  A Cadeia Completa: da Prática ao Sistema Imunitário</w:t>
      </w:r>
    </w:p>
    <w:p>
      <w:pPr>
        <w:spacing w:after="190" w:before="0" w:line="290" w:lineRule="auto"/>
        <w:jc w:val="both"/>
      </w:pPr>
      <w:r>
        <w:rPr>
          <w:rFonts w:ascii="Garamond" w:cs="Garamond" w:eastAsia="Garamond" w:hAnsi="Garamond"/>
          <w:color w:val="1A1A18"/>
          <w:sz w:val="22"/>
          <w:szCs w:val="22"/>
        </w:rPr>
        <w:t xml:space="preserve">Hazlett et al. (2021) estabeleceram que a prática da gratidão reduz a reactividade da amígdala às ameaças, que por sua vez media a redução da produção de citocinas inflamatórias (TNF-α).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propõe que as Figuras Existenciais Negativas (depressão, ansiedade, insónia sem causa física) são sinais somáticos do desalinhamento da alma com as Virtudes. Quando estas duas afirmações são lidas conjuntamente, surge uma cadeia explicativa completa: </w:t>
      </w:r>
      <w:r>
        <w:rPr>
          <w:rFonts w:ascii="Garamond" w:cs="Garamond" w:eastAsia="Garamond" w:hAnsi="Garamond"/>
          <w:b/>
          <w:bCs/>
          <w:color w:val="1A1A18"/>
          <w:sz w:val="22"/>
          <w:szCs w:val="22"/>
        </w:rPr>
        <w:t xml:space="preserve">desalinhamento virtuoso → activação crónica da amígdala → supressão imunitária → sintomatologia somática</w:t>
      </w:r>
      <w:r>
        <w:rPr>
          <w:rFonts w:ascii="Garamond" w:cs="Garamond" w:eastAsia="Garamond" w:hAnsi="Garamond"/>
          <w:color w:val="1A1A18"/>
          <w:sz w:val="22"/>
          <w:szCs w:val="22"/>
        </w:rPr>
        <w:t xml:space="preserve">. Esta cadeia causal, que atravessa a filosofia moral, a neurociência e a medicina, nunca foi explicitamente articulada em nenhum dos documentos revisados.</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Conexão 2</w:t>
      </w:r>
    </w:p>
    <w:p>
      <w:pPr>
        <w:pStyle w:val="Heading1"/>
        <w:pBdr>
          <w:bottom w:val="single" w:color="1B3A2D" w:sz="4" w:space="5"/>
        </w:pBdr>
        <w:spacing w:after="80" w:before="0"/>
      </w:pPr>
      <w:r>
        <w:rPr>
          <w:rFonts w:ascii="Garamond" w:cs="Garamond" w:eastAsia="Garamond" w:hAnsi="Garamond"/>
          <w:b/>
          <w:bCs/>
          <w:color w:val="1B3A2D"/>
          <w:sz w:val="27"/>
          <w:szCs w:val="27"/>
        </w:rPr>
        <w:t xml:space="preserve">2.  O Paradoxo da Humildade e o Teorema da Inversão</w:t>
      </w:r>
    </w:p>
    <w:p>
      <w:pPr>
        <w:spacing w:after="190" w:before="0" w:line="290" w:lineRule="auto"/>
        <w:jc w:val="both"/>
      </w:pPr>
      <w:r>
        <w:rPr>
          <w:rFonts w:ascii="Garamond" w:cs="Garamond" w:eastAsia="Garamond" w:hAnsi="Garamond"/>
          <w:color w:val="1A1A18"/>
          <w:sz w:val="22"/>
          <w:szCs w:val="22"/>
        </w:rPr>
        <w:t xml:space="preserve">Davis et al. (2024) descobriram que a humildade — tipicamente descrita como uma virtude universal — pode, em contextos de discriminação estrutural, produzir submissão e redução do bem-estar em vez de equanimidade. Liu et al. (2024) descobriram que a auto-compaixão pode existir em duas formas funcionalmente opostas: auto-calor (que prediz comportamento pró-social) e auto-frio (que prediz o oposto).</w:t>
      </w:r>
    </w:p>
    <w:p>
      <w:pPr>
        <w:spacing w:after="190" w:before="0" w:line="290" w:lineRule="auto"/>
        <w:jc w:val="both"/>
      </w:pPr>
      <w:r>
        <w:rPr>
          <w:rFonts w:ascii="Garamond" w:cs="Garamond" w:eastAsia="Garamond" w:hAnsi="Garamond"/>
          <w:color w:val="1A1A18"/>
          <w:sz w:val="22"/>
          <w:szCs w:val="22"/>
        </w:rPr>
        <w:t xml:space="preserve">Isoladamente, cada estudo documenta uma anomalia. Lidos em conjunto com o Teorema da Inversão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 que afirma que virtudes privadas da liberdade não diminuem mas invertem — estes resultados tornam-se </w:t>
      </w:r>
      <w:r>
        <w:rPr>
          <w:rFonts w:ascii="Garamond" w:cs="Garamond" w:eastAsia="Garamond" w:hAnsi="Garamond"/>
          <w:b/>
          <w:bCs/>
          <w:color w:val="1A1A18"/>
          <w:sz w:val="22"/>
          <w:szCs w:val="22"/>
        </w:rPr>
        <w:t xml:space="preserve">instâncias empíricas de um teorema geral</w:t>
      </w:r>
      <w:r>
        <w:rPr>
          <w:rFonts w:ascii="Garamond" w:cs="Garamond" w:eastAsia="Garamond" w:hAnsi="Garamond"/>
          <w:color w:val="1A1A18"/>
          <w:sz w:val="22"/>
          <w:szCs w:val="22"/>
        </w:rPr>
        <w:t xml:space="preserve">. A humildade exigida estruturalmente (sem liberdade) não é humildade menor: é submissão. A auto-compaixão praticada sob pressão social torna-se auto-frio. Em ambos os casos, a ausência de liberdade inverte a virtude no seu contrário.</w:t>
      </w:r>
    </w:p>
    <w:p>
      <w:pPr>
        <w:spacing w:after="190" w:before="0" w:line="290" w:lineRule="auto"/>
        <w:jc w:val="both"/>
      </w:pPr>
      <w:r>
        <w:rPr>
          <w:rFonts w:ascii="Garamond" w:cs="Garamond" w:eastAsia="Garamond" w:hAnsi="Garamond"/>
          <w:color w:val="1A1A18"/>
          <w:sz w:val="22"/>
          <w:szCs w:val="22"/>
        </w:rPr>
        <w:t xml:space="preserve">A implicação prática é significativa: qualquer intervenção de fortalecimento de carácter que não inclua uma componente de empoderamento da autonomia e da liberdade do participante pode produzir efeitos invertidos em populações estruturalmente vulneráveis. Dos 162 ensaios clínicos revisados por Cebolla et al. (2025), apenas 17,2% foram conduzidos em países não-ocidentais e nenhum inclui explicitamente uma medida de liberdade percebida como moderador. O Teorema da Inversão prediz que os efeitos encontrados em populações com alta autonomia podem reverter em populações com baixa autonomia.</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Conexão 3</w:t>
      </w:r>
    </w:p>
    <w:p>
      <w:pPr>
        <w:pStyle w:val="Heading1"/>
        <w:pBdr>
          <w:bottom w:val="single" w:color="1B3A2D" w:sz="4" w:space="5"/>
        </w:pBdr>
        <w:spacing w:after="80" w:before="0"/>
      </w:pPr>
      <w:r>
        <w:rPr>
          <w:rFonts w:ascii="Garamond" w:cs="Garamond" w:eastAsia="Garamond" w:hAnsi="Garamond"/>
          <w:b/>
          <w:bCs/>
          <w:color w:val="1B3A2D"/>
          <w:sz w:val="27"/>
          <w:szCs w:val="27"/>
        </w:rPr>
        <w:t xml:space="preserve">3.  Virtuogenese e o Problema da Emergência Moral</w:t>
      </w:r>
    </w:p>
    <w:p>
      <w:pPr>
        <w:spacing w:after="190" w:before="0" w:line="290" w:lineRule="auto"/>
        <w:jc w:val="both"/>
      </w:pPr>
      <w:r>
        <w:rPr>
          <w:rFonts w:ascii="Garamond" w:cs="Garamond" w:eastAsia="Garamond" w:hAnsi="Garamond"/>
          <w:color w:val="1A1A18"/>
          <w:sz w:val="22"/>
          <w:szCs w:val="22"/>
        </w:rPr>
        <w:t xml:space="preserve">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propõe o conceito de Virtuogenese: o processo pelo qual novas virtudes emergem historicamente, requerendo gerações, guerras, catástrofes e revoluções tecnológicas antes de uma virtude genuinamente nova surgir na civilização humana. Uma vez nascida, uma virtude é imortal.</w:t>
      </w:r>
    </w:p>
    <w:p>
      <w:pPr>
        <w:spacing w:after="190" w:before="0" w:line="290" w:lineRule="auto"/>
        <w:jc w:val="both"/>
      </w:pPr>
      <w:r>
        <w:rPr>
          <w:rFonts w:ascii="Garamond" w:cs="Garamond" w:eastAsia="Garamond" w:hAnsi="Garamond"/>
          <w:color w:val="1A1A18"/>
          <w:sz w:val="22"/>
          <w:szCs w:val="22"/>
        </w:rPr>
        <w:t xml:space="preserve">Esta proposta conecta-se com dois corpos de literatura que nunca se dialogaram directamente. Por um lado, a revisão de 78 anos de psicologia moral de Ellemers et al. (2023) documenta como categorias morais evoluem historicamente, com novos conceitos (como o de 'trauma' ou 'consentimento') adquirindo força moral que não tinham em gerações anteriores. Por outro lado, a literatura sobre evolução cultural (implicada nas discussões de Fowers et al., 2021 sobre a dimensão histórica das virtudes) considera as normas morais como unidades de selecção cultural.</w:t>
      </w:r>
    </w:p>
    <w:p>
      <w:pPr>
        <w:spacing w:after="190" w:before="0" w:line="290" w:lineRule="auto"/>
        <w:jc w:val="both"/>
      </w:pPr>
      <w:r>
        <w:rPr>
          <w:rFonts w:ascii="Garamond" w:cs="Garamond" w:eastAsia="Garamond" w:hAnsi="Garamond"/>
          <w:color w:val="1A1A18"/>
          <w:sz w:val="22"/>
          <w:szCs w:val="22"/>
        </w:rPr>
        <w:t xml:space="preserve">A síntese das três fontes gera uma proposta nova: a Virtuogenese pode ser compreendida como </w:t>
      </w:r>
      <w:r>
        <w:rPr>
          <w:rFonts w:ascii="Garamond" w:cs="Garamond" w:eastAsia="Garamond" w:hAnsi="Garamond"/>
          <w:b/>
          <w:bCs/>
          <w:color w:val="1A1A18"/>
          <w:sz w:val="22"/>
          <w:szCs w:val="22"/>
        </w:rPr>
        <w:t xml:space="preserve">selecção cultural positiva com limiar de irreversibilidade</w:t>
      </w:r>
      <w:r>
        <w:rPr>
          <w:rFonts w:ascii="Garamond" w:cs="Garamond" w:eastAsia="Garamond" w:hAnsi="Garamond"/>
          <w:color w:val="1A1A18"/>
          <w:sz w:val="22"/>
          <w:szCs w:val="22"/>
        </w:rPr>
        <w:t xml:space="preserve">. Uma virtude nova emergente não está sujeita à mesma pressão de selecção que uma norma cultural: uma vez que atravessa o limiar de reconhecimento universal (o ponto em que aparece nas doze tradições religiosas examinadas na análise comparada), torna-se imune à reversão. A abolição da escravatura, a igualdade de género, a liberdade de consciência — estas são emergências virtuosas que, uma vez universalmente reconhecidas, não podem ser desinstitucionalizadas permanentemente sem o colapso do reconhecimento da sua própria condição de virtude.</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Conexão 4</w:t>
      </w:r>
    </w:p>
    <w:p>
      <w:pPr>
        <w:pStyle w:val="Heading1"/>
        <w:pBdr>
          <w:bottom w:val="single" w:color="1B3A2D" w:sz="4" w:space="5"/>
        </w:pBdr>
        <w:spacing w:after="80" w:before="0"/>
      </w:pPr>
      <w:r>
        <w:rPr>
          <w:rFonts w:ascii="Garamond" w:cs="Garamond" w:eastAsia="Garamond" w:hAnsi="Garamond"/>
          <w:b/>
          <w:bCs/>
          <w:color w:val="1B3A2D"/>
          <w:sz w:val="27"/>
          <w:szCs w:val="27"/>
        </w:rPr>
        <w:t xml:space="preserve">4.  A Zona de Plenitude como Estrutura Empírica</w:t>
      </w:r>
    </w:p>
    <w:p>
      <w:pPr>
        <w:spacing w:after="190" w:before="0" w:line="290" w:lineRule="auto"/>
        <w:jc w:val="both"/>
      </w:pPr>
      <w:r>
        <w:rPr>
          <w:rFonts w:ascii="Garamond" w:cs="Garamond" w:eastAsia="Garamond" w:hAnsi="Garamond"/>
          <w:color w:val="1A1A18"/>
          <w:sz w:val="22"/>
          <w:szCs w:val="22"/>
        </w:rPr>
        <w:t xml:space="preserve">A Zona de Plenitude (Zona de Plenitude) é proposta no livro como um conceito espacial-político: o ambiente socio-político-espiritual em que todas as 101 virtudes podem florescer simultaneamente. Fora da Zona, mesmo o Homem Pleno é raro; dentro dela, a plenitude torna-se uma condição ordinária da vida.</w:t>
      </w:r>
    </w:p>
    <w:p>
      <w:pPr>
        <w:spacing w:after="190" w:before="0" w:line="290" w:lineRule="auto"/>
        <w:jc w:val="both"/>
      </w:pPr>
      <w:r>
        <w:rPr>
          <w:rFonts w:ascii="Garamond" w:cs="Garamond" w:eastAsia="Garamond" w:hAnsi="Garamond"/>
          <w:color w:val="1A1A18"/>
          <w:sz w:val="22"/>
          <w:szCs w:val="22"/>
        </w:rPr>
        <w:t xml:space="preserve">Este conceito conecta-se com dois conjuntos de dados empíricos que, lidos isoladamente, parecem não relacionados. O primeiro é o estudo de Davis et al. (2024): a humildade produz bem-estar e confiança cívica em contextos de democracia pluralista saudável, mas produz submissão e isolamento em contextos de discriminação. O segundo são os resultados do estudo de larga escala do New Zealand Attitudes and Values Study (NZAVS, N=70.000+) que sustenta o estudo de Davis — um dos maiores estudos longitudinais de bem-estar e virtude com dados estruturais.</w:t>
      </w:r>
    </w:p>
    <w:p>
      <w:pPr>
        <w:spacing w:after="190" w:before="0" w:line="290" w:lineRule="auto"/>
        <w:jc w:val="both"/>
      </w:pPr>
      <w:r>
        <w:rPr>
          <w:rFonts w:ascii="Garamond" w:cs="Garamond" w:eastAsia="Garamond" w:hAnsi="Garamond"/>
          <w:color w:val="1A1A18"/>
          <w:sz w:val="22"/>
          <w:szCs w:val="22"/>
        </w:rPr>
        <w:t xml:space="preserve">A conexão é esta: a Zona de Plenitude é empiricamente operacionalizável. Os indicadores estruturais de uma Zona (pluralismo, baixa discriminação, liberdade de consciência, segurança, descentralização do poder) correspondem exactamente às variáveis moderadoras que determinam se as virtudes produzem os seus efeitos esperados nos estudos empíricos.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nomeou o constructo; a literatura empírica fornece os dados e os instrumentos de medição. Uma escala de 'Zona de Plenitude' é construtível a partir das variáveis existentes no NZAVS e equivalentes.</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Conexão 5</w:t>
      </w:r>
    </w:p>
    <w:p>
      <w:pPr>
        <w:pStyle w:val="Heading1"/>
        <w:pBdr>
          <w:bottom w:val="single" w:color="1B3A2D" w:sz="4" w:space="5"/>
        </w:pBdr>
        <w:spacing w:after="80" w:before="0"/>
      </w:pPr>
      <w:r>
        <w:rPr>
          <w:rFonts w:ascii="Garamond" w:cs="Garamond" w:eastAsia="Garamond" w:hAnsi="Garamond"/>
          <w:b/>
          <w:bCs/>
          <w:color w:val="1B3A2D"/>
          <w:sz w:val="27"/>
          <w:szCs w:val="27"/>
        </w:rPr>
        <w:t xml:space="preserve">5.  Coragem, Raiva e a Gioia: a Reabilitação das Paixões</w:t>
      </w:r>
    </w:p>
    <w:p>
      <w:pPr>
        <w:spacing w:after="190" w:before="0" w:line="290" w:lineRule="auto"/>
        <w:jc w:val="both"/>
      </w:pPr>
      <w:r>
        <w:rPr>
          <w:rFonts w:ascii="Garamond" w:cs="Garamond" w:eastAsia="Garamond" w:hAnsi="Garamond"/>
          <w:color w:val="1A1A18"/>
          <w:sz w:val="22"/>
          <w:szCs w:val="22"/>
        </w:rPr>
        <w:t xml:space="preserve">A descoberta de Sasse et al. (2022) de que a raiva facilita a coragem moral — que uma emoção tipicamente classificada como vício funciona como combustível motivacional para uma virtude central — é contraintuitiva na perspectiva das teorias da virtude que privilegiam a calma e o autocontrolo. Mas conecta-se directamente com a proposta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sobre a Gioia.</w:t>
      </w:r>
    </w:p>
    <w:p>
      <w:pPr>
        <w:spacing w:after="190" w:before="0" w:line="290" w:lineRule="auto"/>
        <w:jc w:val="both"/>
      </w:pPr>
      <w:r>
        <w:rPr>
          <w:rFonts w:ascii="Garamond" w:cs="Garamond" w:eastAsia="Garamond" w:hAnsi="Garamond"/>
          <w:color w:val="1A1A18"/>
          <w:sz w:val="22"/>
          <w:szCs w:val="22"/>
        </w:rPr>
        <w:t xml:space="preserve">O livro descreve a Gioia não como um estado de equanimidade passiva mas como força viva, dinâmica, combativa: </w:t>
      </w:r>
      <w:r>
        <w:rPr>
          <w:rFonts w:ascii="Garamond" w:cs="Garamond" w:eastAsia="Garamond" w:hAnsi="Garamond"/>
          <w:i/>
          <w:iCs/>
          <w:color w:val="4E4840"/>
          <w:sz w:val="22"/>
          <w:szCs w:val="22"/>
        </w:rPr>
        <w:t xml:space="preserve">"O Virtuoso tem a alma de um lobo — livre, auto-determinado, actuando nas Virtudes pelas Virtudes, sem preocupação com as opiniões dos outros."</w:t>
      </w:r>
      <w:r>
        <w:rPr>
          <w:rFonts w:ascii="Garamond" w:cs="Garamond" w:eastAsia="Garamond" w:hAnsi="Garamond"/>
          <w:color w:val="1A1A18"/>
          <w:sz w:val="22"/>
          <w:szCs w:val="22"/>
        </w:rPr>
        <w:t xml:space="preserve"> Esta é a fenomenologia da Gioia em estados de resistência moral — e é precisamente o estado que Sasse et al. identificam como correlato da coragem moral activada pela raiva.</w:t>
      </w:r>
    </w:p>
    <w:p>
      <w:pPr>
        <w:spacing w:after="190" w:before="0" w:line="290" w:lineRule="auto"/>
        <w:jc w:val="both"/>
      </w:pPr>
      <w:r>
        <w:rPr>
          <w:rFonts w:ascii="Garamond" w:cs="Garamond" w:eastAsia="Garamond" w:hAnsi="Garamond"/>
          <w:color w:val="1A1A18"/>
          <w:sz w:val="22"/>
          <w:szCs w:val="22"/>
        </w:rPr>
        <w:t xml:space="preserve">A conexão com o trabalho de McGuire et al. (2023) sobre elevação moral aprofunda-a: os participantes que observam atos de coragem experimentam 'aquecimento no peito', 'lágrimas nos olhos' e 'forte desejo de imitar a virtude observada'. Esta é, precisamente, a fenomenologia da transmissão da Gioia descrita no livro: a virtude em execução gera virtude em quem a testemunha. A neurociência da elevação moral e a filosofia da Gioia são o mesmo fenómeno.</w:t>
      </w:r>
    </w:p>
    <w:p>
      <w:pPr>
        <w:spacing w:after="190" w:before="0" w:line="290" w:lineRule="auto"/>
        <w:jc w:val="both"/>
      </w:pPr>
      <w:r>
        <w:rPr>
          <w:rFonts w:ascii="Garamond" w:cs="Garamond" w:eastAsia="Garamond" w:hAnsi="Garamond"/>
          <w:color w:val="1A1A18"/>
          <w:sz w:val="22"/>
          <w:szCs w:val="22"/>
        </w:rPr>
        <w:t xml:space="preserve">A síntese sugere uma nova categoria de psicologia das virtudes: as </w:t>
      </w:r>
      <w:r>
        <w:rPr>
          <w:rFonts w:ascii="Garamond" w:cs="Garamond" w:eastAsia="Garamond" w:hAnsi="Garamond"/>
          <w:b/>
          <w:bCs/>
          <w:color w:val="1A1A18"/>
          <w:sz w:val="22"/>
          <w:szCs w:val="22"/>
        </w:rPr>
        <w:t xml:space="preserve">Emoções Virtuosas Instrumentais</w:t>
      </w:r>
      <w:r>
        <w:rPr>
          <w:rFonts w:ascii="Garamond" w:cs="Garamond" w:eastAsia="Garamond" w:hAnsi="Garamond"/>
          <w:color w:val="1A1A18"/>
          <w:sz w:val="22"/>
          <w:szCs w:val="22"/>
        </w:rPr>
        <w:t xml:space="preserve"> — emoções tipicamente classificadas como neutras ou negativas (raiva, tristeza, medo) que, quando orientadas pela liberdade e pela intenção virtuosa, funcionam como combustível para a expressão virtuosa. A ira justa, o luto produtivo, o medo como sinal de discernimento — estas são paixões no sentido clássico, reabilitadas como instrumentos da virtude quando enquadradas pelo Teorema da Inversão.</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Conexão 6</w:t>
      </w:r>
    </w:p>
    <w:p>
      <w:pPr>
        <w:pStyle w:val="Heading1"/>
        <w:pBdr>
          <w:bottom w:val="single" w:color="1B3A2D" w:sz="4" w:space="5"/>
        </w:pBdr>
        <w:spacing w:after="80" w:before="0"/>
      </w:pPr>
      <w:r>
        <w:rPr>
          <w:rFonts w:ascii="Garamond" w:cs="Garamond" w:eastAsia="Garamond" w:hAnsi="Garamond"/>
          <w:b/>
          <w:bCs/>
          <w:color w:val="1B3A2D"/>
          <w:sz w:val="27"/>
          <w:szCs w:val="27"/>
        </w:rPr>
        <w:t xml:space="preserve">6.  A Identidade Deus = Liberdade e a Neurologia das Virtudes Transcendentes</w:t>
      </w:r>
    </w:p>
    <w:p>
      <w:pPr>
        <w:spacing w:after="190" w:before="0" w:line="290" w:lineRule="auto"/>
        <w:jc w:val="both"/>
      </w:pPr>
      <w:r>
        <w:rPr>
          <w:rFonts w:ascii="Garamond" w:cs="Garamond" w:eastAsia="Garamond" w:hAnsi="Garamond"/>
          <w:color w:val="1A1A18"/>
          <w:sz w:val="22"/>
          <w:szCs w:val="22"/>
        </w:rPr>
        <w:t xml:space="preserve">Kolber (2025) demonstrou que as virtudes transcendentes (fé, esperança, amor) activam circuitos neurais sobrepostos com as virtudes cardinais (sabedoria, coragem, justiça, temperança), com maior representação límbica para o cluster transcendente.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afirma que Deus é Liberdade e que todas as virtudes são compostas de Liberdade.</w:t>
      </w:r>
    </w:p>
    <w:p>
      <w:pPr>
        <w:spacing w:after="190" w:before="0" w:line="290" w:lineRule="auto"/>
        <w:jc w:val="both"/>
      </w:pPr>
      <w:r>
        <w:rPr>
          <w:rFonts w:ascii="Garamond" w:cs="Garamond" w:eastAsia="Garamond" w:hAnsi="Garamond"/>
          <w:color w:val="1A1A18"/>
          <w:sz w:val="22"/>
          <w:szCs w:val="22"/>
        </w:rPr>
        <w:t xml:space="preserve">A conexão emerge quando se combina o dado neurológico de Kolber com a análise de frequência da Liberdade nos textos sagrados (Apêndice 2 do projecto):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tem uma densidade de 8,8 ocorrências de 'liberdade' por 1.000 palavras — mais de cinco vezes o segundo texto mais denso (Judaísmo, 1,7) e 88 vezes o mais baixo (Islão, 0,1). Se as virtudes transcendentes activam preferencialmente o sistema límbico (emocional, relacional, espiritual), e se a Liberdade é o elemento de que todas as virtudes são feitas, então a Liberdade deveria ser o constructo com a maior activação límbica de todos — o 'correlato neural do Divino'.</w:t>
      </w:r>
    </w:p>
    <w:p>
      <w:pPr>
        <w:spacing w:after="190" w:before="0" w:line="290" w:lineRule="auto"/>
        <w:jc w:val="both"/>
      </w:pPr>
      <w:r>
        <w:rPr>
          <w:rFonts w:ascii="Garamond" w:cs="Garamond" w:eastAsia="Garamond" w:hAnsi="Garamond"/>
          <w:color w:val="1A1A18"/>
          <w:sz w:val="22"/>
          <w:szCs w:val="22"/>
        </w:rPr>
        <w:t xml:space="preserve">Esta hipótese é testável: a prática de virtudes baseadas em liberdade escolhida (em contraste com virtudes praticadas por obrigação ou norma social) deveria produzir padrões de activação neural distintos, com maior preponderância do sistema límbico-afectivo. Nenhum estudo fMRI testou explicitamente 'liberdade percebida na acção virtuosa' como variável independente. Esta é, possivelmente, a hipótese empírica mais consequente que emerge do projecto inteiro.</w:t>
      </w:r>
    </w:p>
    <w:p>
      <w:pPr>
        <w:pageBreakBefore/>
      </w:pPr>
      <w:r>
        <w:rPr>
          <w:rFonts w:ascii="Garamond" w:cs="Garamond" w:eastAsia="Garamond" w:hAnsi="Garamond"/>
          <w:color w:val="1A1A18"/>
          <w:sz w:val="22"/>
          <w:szCs w:val="22"/>
        </w:rPr>
        <w:t xml:space="preserve"/>
      </w:r>
    </w:p>
    <w:p>
      <w:pPr>
        <w:spacing w:after="30" w:before="50"/>
        <w:jc w:val="center"/>
      </w:pPr>
      <w:r>
        <w:rPr>
          <w:rFonts w:ascii="Garamond" w:cs="Garamond" w:eastAsia="Garamond" w:hAnsi="Garamond"/>
          <w:b/>
          <w:bCs/>
          <w:color w:val="8A8278"/>
          <w:sz w:val="19"/>
          <w:szCs w:val="19"/>
        </w:rPr>
        <w:t xml:space="preserve">PARTE  II</w:t>
      </w:r>
    </w:p>
    <w:p>
      <w:pPr>
        <w:spacing w:after="0" w:before="0"/>
        <w:jc w:val="center"/>
      </w:pPr>
      <w:r>
        <w:rPr>
          <w:rFonts w:ascii="Garamond" w:cs="Garamond" w:eastAsia="Garamond" w:hAnsi="Garamond"/>
          <w:b/>
          <w:bCs/>
          <w:color w:val="2E5E42"/>
          <w:sz w:val="30"/>
          <w:szCs w:val="30"/>
        </w:rPr>
        <w:t xml:space="preserve">CORRELAÇÕES EMERGENTES</w:t>
      </w:r>
    </w:p>
    <w:p>
      <w:pPr>
        <w:spacing w:after="0" w:before="8"/>
        <w:jc w:val="center"/>
      </w:pPr>
      <w:r>
        <w:rPr>
          <w:rFonts w:ascii="Garamond" w:cs="Garamond" w:eastAsia="Garamond" w:hAnsi="Garamond"/>
          <w:i/>
          <w:iCs/>
          <w:color w:val="4E4840"/>
          <w:sz w:val="18"/>
          <w:szCs w:val="18"/>
        </w:rPr>
        <w:t xml:space="preserve">Padrões que aparecem de forma independente em múltiplas tradições</w:t>
      </w:r>
    </w:p>
    <w:p>
      <w:pPr>
        <w:pBdr>
          <w:bottom w:val="single" w:color="2E5E42" w:sz="3" w:space="0"/>
        </w:pBdr>
        <w:spacing w:after="80" w:before="80"/>
      </w:pP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Correlação 7</w:t>
      </w:r>
    </w:p>
    <w:p>
      <w:pPr>
        <w:pStyle w:val="Heading1"/>
        <w:pBdr>
          <w:bottom w:val="single" w:color="1B3A2D" w:sz="4" w:space="5"/>
        </w:pBdr>
        <w:spacing w:after="80" w:before="0"/>
      </w:pPr>
      <w:r>
        <w:rPr>
          <w:rFonts w:ascii="Garamond" w:cs="Garamond" w:eastAsia="Garamond" w:hAnsi="Garamond"/>
          <w:b/>
          <w:bCs/>
          <w:color w:val="1B3A2D"/>
          <w:sz w:val="27"/>
          <w:szCs w:val="27"/>
        </w:rPr>
        <w:t xml:space="preserve">7.  A Convergência Eudaimónica: Aristóteles, Seligman, e a Filosofia das Virtudes</w:t>
      </w:r>
    </w:p>
    <w:p>
      <w:pPr>
        <w:spacing w:after="190" w:before="0" w:line="290" w:lineRule="auto"/>
        <w:jc w:val="both"/>
      </w:pPr>
      <w:r>
        <w:rPr>
          <w:rFonts w:ascii="Garamond" w:cs="Garamond" w:eastAsia="Garamond" w:hAnsi="Garamond"/>
          <w:color w:val="1A1A18"/>
          <w:sz w:val="22"/>
          <w:szCs w:val="22"/>
        </w:rPr>
        <w:t xml:space="preserve">Uma correlação estrutural profunda emerge quando se colocam em paralelo três sistemas independentes: a eudaimonia aristotélica, o modelo PERMA de Seligman (Emoções Positivas, Envolvimento, Relações, Significado, Realizações) e a arquitectura de 101 virtudes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w:t>
      </w:r>
    </w:p>
    <w:p>
      <w:pPr>
        <w:spacing w:after="190" w:before="0" w:line="290" w:lineRule="auto"/>
        <w:jc w:val="both"/>
      </w:pPr>
      <w:r>
        <w:rPr>
          <w:rFonts w:ascii="Garamond" w:cs="Garamond" w:eastAsia="Garamond" w:hAnsi="Garamond"/>
          <w:color w:val="1A1A18"/>
          <w:sz w:val="22"/>
          <w:szCs w:val="22"/>
        </w:rPr>
        <w:t xml:space="preserve">Os cinco elementos do PERMA não são arbitrários: correspondem exactamente às cinco dimensões da plenitude que o livro descreve no Homem Pleno (Uomo Pieno): Emoções positivas ↔ Gioia; Envolvimento ↔ Virtude Dominante/Presente; Relações ↔ Virtudes da Humanidade; Significado ↔ Virtudes da Sabedoria; Realizações ↔ Virtudes da Coragem e da Justiça. Aristóteles articulou os componentes filosóficos; Seligman articulou os componentes psicológicos mensuráveis;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articula os componentes ontológicos e espirituais do mesmo fenómeno de base: o florescimento humano pleno.</w:t>
      </w:r>
    </w:p>
    <w:p>
      <w:pPr>
        <w:spacing w:after="0" w:before="120"/>
      </w:pPr>
      <w:r>
        <w:rPr>
          <w:rFonts w:ascii="Garamond" w:cs="Garamond" w:eastAsia="Garamond" w:hAnsi="Garamond"/>
          <w:color w:val="1A1A18"/>
          <w:sz w:val="22"/>
          <w:szCs w:val="22"/>
        </w:rPr>
        <w:t xml:space="preserve"/>
      </w:r>
    </w:p>
    <w:p>
      <w:pPr>
        <w:pBdr>
          <w:left w:val="thick" w:color="7A5A0F" w:sz="14" w:space="9"/>
        </w:pBdr>
        <w:spacing w:after="0" w:before="0"/>
        <w:ind w:left="380" w:right="180"/>
        <w:jc w:val="both"/>
      </w:pPr>
      <w:r>
        <w:rPr>
          <w:rFonts w:ascii="Garamond" w:cs="Garamond" w:eastAsia="Garamond" w:hAnsi="Garamond"/>
          <w:i/>
          <w:iCs/>
          <w:color w:val="1B3A2D"/>
          <w:sz w:val="20"/>
          <w:szCs w:val="20"/>
        </w:rPr>
        <w:t xml:space="preserve">“As Virtudes são o DNA de algo muito mais vasto e poderoso. O Divino, de alguma forma, toca o homem quando este o permite.”</w:t>
      </w:r>
    </w:p>
    <w:p>
      <w:pPr>
        <w:spacing w:after="120" w:before="10"/>
        <w:ind w:right="180"/>
        <w:jc w:val="right"/>
      </w:pPr>
      <w:r>
        <w:rPr>
          <w:rFonts w:ascii="Garamond" w:cs="Garamond" w:eastAsia="Garamond" w:hAnsi="Garamond"/>
          <w:i/>
          <w:iCs/>
          <w:color w:val="8A8278"/>
          <w:sz w:val="16"/>
          <w:szCs w:val="16"/>
        </w:rPr>
        <w:t xml:space="preserve">— Filosofia das Virtudes, Cap. IV</w:t>
      </w:r>
    </w:p>
    <w:p>
      <w:pPr>
        <w:spacing w:after="190" w:before="0" w:line="290" w:lineRule="auto"/>
        <w:jc w:val="both"/>
      </w:pPr>
      <w:r>
        <w:rPr>
          <w:rFonts w:ascii="Garamond" w:cs="Garamond" w:eastAsia="Garamond" w:hAnsi="Garamond"/>
          <w:color w:val="1A1A18"/>
          <w:sz w:val="22"/>
          <w:szCs w:val="22"/>
        </w:rPr>
        <w:t xml:space="preserve">Esta correlação tem um corolário educativo imediato: os professores que ensinam PERMA podem utilizar a taxonomia de 101 virtudes como o mapa de conteúdo que o modelo PERMA descreve estruturalmente. Os terapeutas que aplicam intervenções de psicologia positiva podem referenciar o Decreto das Virtudes e o Juramento do livro como instrumentos de ancoragem dos compromissos do paciente. Os investigadores que medem eudaimonia com o PERMA podem testar se a frequência de Gioia prediz os cinco componentes de forma mais precisa do que qualquer escala de bem-estar existente.</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Correlação 8</w:t>
      </w:r>
    </w:p>
    <w:p>
      <w:pPr>
        <w:pStyle w:val="Heading1"/>
        <w:pBdr>
          <w:bottom w:val="single" w:color="1B3A2D" w:sz="4" w:space="5"/>
        </w:pBdr>
        <w:spacing w:after="80" w:before="0"/>
      </w:pPr>
      <w:r>
        <w:rPr>
          <w:rFonts w:ascii="Garamond" w:cs="Garamond" w:eastAsia="Garamond" w:hAnsi="Garamond"/>
          <w:b/>
          <w:bCs/>
          <w:color w:val="1B3A2D"/>
          <w:sz w:val="27"/>
          <w:szCs w:val="27"/>
        </w:rPr>
        <w:t xml:space="preserve">8.  A Universalidade das Virtudes: Convergência de Três Métodos Independentes</w:t>
      </w:r>
    </w:p>
    <w:p>
      <w:pPr>
        <w:spacing w:after="190" w:before="0" w:line="290" w:lineRule="auto"/>
        <w:jc w:val="both"/>
      </w:pPr>
      <w:r>
        <w:rPr>
          <w:rFonts w:ascii="Garamond" w:cs="Garamond" w:eastAsia="Garamond" w:hAnsi="Garamond"/>
          <w:color w:val="1A1A18"/>
          <w:sz w:val="22"/>
          <w:szCs w:val="22"/>
        </w:rPr>
        <w:t xml:space="preserve">A universalidade de um núcleo de virtudes é confirmada de forma independente por três metodologias radicalmente diferentes neste projecto:</w:t>
      </w:r>
    </w:p>
    <w:p>
      <w:pPr>
        <w:spacing w:after="170" w:before="0" w:line="290"/>
        <w:jc w:val="both"/>
      </w:pPr>
      <w:r>
        <w:rPr>
          <w:rFonts w:ascii="Garamond" w:cs="Garamond" w:eastAsia="Garamond" w:hAnsi="Garamond"/>
          <w:b/>
          <w:bCs/>
          <w:color w:val="1B3A2D"/>
          <w:sz w:val="21"/>
          <w:szCs w:val="21"/>
        </w:rPr>
        <w:t xml:space="preserve">Método 1 — Revisão filosófica-religiosa: </w:t>
      </w:r>
      <w:r>
        <w:rPr>
          <w:rFonts w:ascii="Garamond" w:cs="Garamond" w:eastAsia="Garamond" w:hAnsi="Garamond"/>
          <w:color w:val="1A1A18"/>
          <w:sz w:val="21"/>
          <w:szCs w:val="21"/>
        </w:rPr>
        <w:t xml:space="preserve">Peterson e Seligman (2004) identificaram 6 virtudes presentes em todas as tradições culturais e religiosas examinadas (greco-romana, judaico-cristã, confuciana, taoísta, budista, hindu, islâmica).</w:t>
      </w:r>
    </w:p>
    <w:p>
      <w:pPr>
        <w:spacing w:after="170" w:before="0" w:line="290"/>
        <w:jc w:val="both"/>
      </w:pPr>
      <w:r>
        <w:rPr>
          <w:rFonts w:ascii="Garamond" w:cs="Garamond" w:eastAsia="Garamond" w:hAnsi="Garamond"/>
          <w:b/>
          <w:bCs/>
          <w:color w:val="2E5E42"/>
          <w:sz w:val="21"/>
          <w:szCs w:val="21"/>
        </w:rPr>
        <w:t xml:space="preserve">Método 2 — Frequência lexical: </w:t>
      </w:r>
      <w:r>
        <w:rPr>
          <w:rFonts w:ascii="Garamond" w:cs="Garamond" w:eastAsia="Garamond" w:hAnsi="Garamond"/>
          <w:color w:val="1A1A18"/>
          <w:sz w:val="21"/>
          <w:szCs w:val="21"/>
        </w:rPr>
        <w:t xml:space="preserve">A análise comparada das 12 tradições religiosas conduzida para a Filosofia das Virtudes identificou Amor e Honestidade como presentes em todas as 12 tradições, com Gratidão presente em 10 de 12.</w:t>
      </w:r>
    </w:p>
    <w:p>
      <w:pPr>
        <w:spacing w:after="170" w:before="0" w:line="290"/>
        <w:jc w:val="both"/>
      </w:pPr>
      <w:r>
        <w:rPr>
          <w:rFonts w:ascii="Garamond" w:cs="Garamond" w:eastAsia="Garamond" w:hAnsi="Garamond"/>
          <w:b/>
          <w:bCs/>
          <w:color w:val="7A5A0F"/>
          <w:sz w:val="21"/>
          <w:szCs w:val="21"/>
        </w:rPr>
        <w:t xml:space="preserve">Método 3 — Meta-análise de 41 países: </w:t>
      </w:r>
      <w:r>
        <w:rPr>
          <w:rFonts w:ascii="Garamond" w:cs="Garamond" w:eastAsia="Garamond" w:hAnsi="Garamond"/>
          <w:color w:val="1A1A18"/>
          <w:sz w:val="21"/>
          <w:szCs w:val="21"/>
        </w:rPr>
        <w:t xml:space="preserve">A meta-análise de Carr et al. (2022) de 347 ensaios (N&gt;72.000) em 41 países confirma que intervenções centradas em forças de carácter produzem melhorias de bem-estar consistentes em todas as culturas testadas.</w:t>
      </w:r>
    </w:p>
    <w:p>
      <w:pPr>
        <w:spacing w:after="190" w:before="0" w:line="290" w:lineRule="auto"/>
        <w:jc w:val="both"/>
      </w:pPr>
      <w:r>
        <w:rPr>
          <w:rFonts w:ascii="Garamond" w:cs="Garamond" w:eastAsia="Garamond" w:hAnsi="Garamond"/>
          <w:color w:val="1A1A18"/>
          <w:sz w:val="22"/>
          <w:szCs w:val="22"/>
        </w:rPr>
        <w:t xml:space="preserve">A convergência de três métodos independentes — filosófico-comparativo, linguístico-quantitativo, e clínico-experimental — na mesma conclusão (existe um núcleo universal de virtudes) é a prova mais robusta disponível na literatura. Nenhum documento individual combina os três métodos; a convergência só se torna visível quando os três corpora são lidos em conjunto.</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Correlação 9</w:t>
      </w:r>
    </w:p>
    <w:p>
      <w:pPr>
        <w:pStyle w:val="Heading1"/>
        <w:pBdr>
          <w:bottom w:val="single" w:color="1B3A2D" w:sz="4" w:space="5"/>
        </w:pBdr>
        <w:spacing w:after="80" w:before="0"/>
      </w:pPr>
      <w:r>
        <w:rPr>
          <w:rFonts w:ascii="Garamond" w:cs="Garamond" w:eastAsia="Garamond" w:hAnsi="Garamond"/>
          <w:b/>
          <w:bCs/>
          <w:color w:val="1B3A2D"/>
          <w:sz w:val="27"/>
          <w:szCs w:val="27"/>
        </w:rPr>
        <w:t xml:space="preserve">9.  O Modelo das Três Fases e a Tradição Contemplativa Mundial</w:t>
      </w:r>
    </w:p>
    <w:p>
      <w:pPr>
        <w:spacing w:after="190" w:before="0" w:line="290" w:lineRule="auto"/>
        <w:jc w:val="both"/>
      </w:pPr>
      <w:r>
        <w:rPr>
          <w:rFonts w:ascii="Garamond" w:cs="Garamond" w:eastAsia="Garamond" w:hAnsi="Garamond"/>
          <w:color w:val="1A1A18"/>
          <w:sz w:val="22"/>
          <w:szCs w:val="22"/>
        </w:rPr>
        <w:t xml:space="preserve">O modelo trifásico da consciência proposto pela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 (1) Sinal Inconsciente, (2) Despertar, (3) Decisão Racional — correlaciona-se de forma independente com estruturas de transformação espiritual presentes em múltiplas tradições religiosas examinadas na análise comparada, sem que nenhuma delas as tenha articulado nesta forma precisa:</w:t>
      </w:r>
    </w:p>
    <w:p>
      <w:pPr>
        <w:spacing w:after="190" w:before="0" w:line="290" w:lineRule="auto"/>
        <w:jc w:val="both"/>
      </w:pPr>
      <w:r>
        <w:rPr>
          <w:rFonts w:ascii="Garamond" w:cs="Garamond" w:eastAsia="Garamond" w:hAnsi="Garamond"/>
          <w:color w:val="1A1A18"/>
          <w:sz w:val="22"/>
          <w:szCs w:val="22"/>
        </w:rPr>
        <w:t xml:space="preserve">No Judaísmo, o processo de teshuvá (retorno) tem três momentos: reconhecimento do pecado (Fase 1 — sinal somático de misalinhamento), arrepedimento do coração (Fase 2 — despertar), e mudança de comportamento (Fase 3 — decisão). No Budismo, as Quatro Nobres Verdades articulam: sofrimento (Fase 1), causa do sofrimento — ignorância — reconhecida (Fase 2), decisão de seguir o Caminho Óctuplo (Fase 3). No Sikhismo, a progressão das cinco khands (regiões espirituais) começa pelo Dharam Khand (dever — Fase 1), Gian Khand (conhecimento — Fase 2) e Sach Khand (a Verdade — Fase 3).</w:t>
      </w:r>
    </w:p>
    <w:p>
      <w:pPr>
        <w:spacing w:after="190" w:before="0" w:line="290" w:lineRule="auto"/>
        <w:jc w:val="both"/>
      </w:pPr>
      <w:r>
        <w:rPr>
          <w:rFonts w:ascii="Garamond" w:cs="Garamond" w:eastAsia="Garamond" w:hAnsi="Garamond"/>
          <w:color w:val="1A1A18"/>
          <w:sz w:val="22"/>
          <w:szCs w:val="22"/>
        </w:rPr>
        <w:t xml:space="preserve">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não derivou o seu modelo destas tradições — articulou-o a partir de experiência directa. A correlação com estruturas independentes em três tradições religiosas diferentes constitui uma confirmação indirecta de que o modelo captura uma estrutura real do desenvolvimento moral humano, e não uma preferência cultural específica.</w:t>
      </w:r>
    </w:p>
    <w:p>
      <w:pPr>
        <w:spacing w:after="190" w:before="0" w:line="290" w:lineRule="auto"/>
        <w:jc w:val="both"/>
      </w:pPr>
      <w:r>
        <w:rPr>
          <w:rFonts w:ascii="Garamond" w:cs="Garamond" w:eastAsia="Garamond" w:hAnsi="Garamond"/>
          <w:color w:val="1A1A18"/>
          <w:sz w:val="22"/>
          <w:szCs w:val="22"/>
        </w:rPr>
        <w:t xml:space="preserve">A articulação da Jurist e Meehan (2021) sobre afectividade mentalizada fornece o mecanismo psicológico preciso para as Fases 1 e 2: a afectividade mentalizada é a capacidade de identificar, modular e expressar emoções através da memória autobiográfica — exatamente o processo pelo qual o sinal inconsciente (Fase 1) é reconhecido e integrado para produzir o despertar (Fase 2).</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Correlação 10</w:t>
      </w:r>
    </w:p>
    <w:p>
      <w:pPr>
        <w:pStyle w:val="Heading1"/>
        <w:pBdr>
          <w:bottom w:val="single" w:color="1B3A2D" w:sz="4" w:space="5"/>
        </w:pBdr>
        <w:spacing w:after="80" w:before="0"/>
      </w:pPr>
      <w:r>
        <w:rPr>
          <w:rFonts w:ascii="Garamond" w:cs="Garamond" w:eastAsia="Garamond" w:hAnsi="Garamond"/>
          <w:b/>
          <w:bCs/>
          <w:color w:val="1B3A2D"/>
          <w:sz w:val="27"/>
          <w:szCs w:val="27"/>
        </w:rPr>
        <w:t xml:space="preserve">10.  Holoviceose e a Crise do Vocabulário Moral</w:t>
      </w:r>
    </w:p>
    <w:p>
      <w:pPr>
        <w:spacing w:after="190" w:before="0" w:line="290" w:lineRule="auto"/>
        <w:jc w:val="both"/>
      </w:pPr>
      <w:r>
        <w:rPr>
          <w:rFonts w:ascii="Garamond" w:cs="Garamond" w:eastAsia="Garamond" w:hAnsi="Garamond"/>
          <w:color w:val="1A1A18"/>
          <w:sz w:val="22"/>
          <w:szCs w:val="22"/>
        </w:rPr>
        <w:t xml:space="preserve">O estudo fenomenológico de Minnesota (Multiple Authors, 2023) documenta que o declínio do uso de vocabulário de virtude nas escolas e organizações correlaciona com o declínio do desenvolvimento moral. A descoberta de Van Zyl et al. (2023) documenta que a psicologia positiva perdeu o rigor conceptual das virtudes porque reduziu 'virtude' a 'comportamento preferido numa escala contínua'. Estas duas descobertas independentes convergem na proposta da Holoviceose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w:t>
      </w:r>
    </w:p>
    <w:p>
      <w:pPr>
        <w:spacing w:after="190" w:before="0" w:line="290" w:lineRule="auto"/>
        <w:jc w:val="both"/>
      </w:pPr>
      <w:r>
        <w:rPr>
          <w:rFonts w:ascii="Garamond" w:cs="Garamond" w:eastAsia="Garamond" w:hAnsi="Garamond"/>
          <w:color w:val="1A1A18"/>
          <w:sz w:val="22"/>
          <w:szCs w:val="22"/>
        </w:rPr>
        <w:t xml:space="preserve">A Holoviceose não é apenas um processo de extermínio físico ou político: é primariamente um processo </w:t>
      </w:r>
      <w:r>
        <w:rPr>
          <w:rFonts w:ascii="Garamond" w:cs="Garamond" w:eastAsia="Garamond" w:hAnsi="Garamond"/>
          <w:b/>
          <w:bCs/>
          <w:color w:val="1A1A18"/>
          <w:sz w:val="22"/>
          <w:szCs w:val="22"/>
        </w:rPr>
        <w:t xml:space="preserve">linguístico e conceptual</w:t>
      </w:r>
      <w:r>
        <w:rPr>
          <w:rFonts w:ascii="Garamond" w:cs="Garamond" w:eastAsia="Garamond" w:hAnsi="Garamond"/>
          <w:color w:val="1A1A18"/>
          <w:sz w:val="22"/>
          <w:szCs w:val="22"/>
        </w:rPr>
        <w:t xml:space="preserve"> — a erosão do vocabulário através do qual a resistência à tirania se torna articulável. Quando 'virtude' é substituída por 'valor' (subjectivo), quando 'liberdade' é substituída por 'opção de consumo', quando 'coragem' é substituída por 'resiliência' (capacidade de adaptação ao sistema existente), o processo de Holoviceose está em curso.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é, em si mesma, um acto de resistência linguística: insiste no vocabulário das virtudes com precisão filosófica, recusa os eufemismos terapêuticos, e nomeia os vícios pelos seus nomes.</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5"/>
        </w:pBdr>
        <w:spacing w:after="80" w:before="0"/>
      </w:pPr>
      <w:r>
        <w:rPr>
          <w:rFonts w:ascii="Garamond" w:cs="Garamond" w:eastAsia="Garamond" w:hAnsi="Garamond"/>
          <w:b/>
          <w:bCs/>
          <w:color w:val="1B3A2D"/>
          <w:sz w:val="27"/>
          <w:szCs w:val="27"/>
        </w:rPr>
        <w:t xml:space="preserve">Síntese Educativa: Mapa das Conexões</w:t>
      </w:r>
    </w:p>
    <w:p>
      <w:pPr>
        <w:spacing w:after="190" w:before="0" w:line="290" w:lineRule="auto"/>
        <w:jc w:val="both"/>
      </w:pPr>
      <w:r>
        <w:rPr>
          <w:rFonts w:ascii="Garamond" w:cs="Garamond" w:eastAsia="Garamond" w:hAnsi="Garamond"/>
          <w:color w:val="1A1A18"/>
          <w:sz w:val="22"/>
          <w:szCs w:val="22"/>
        </w:rPr>
        <w:t xml:space="preserve">A tabela que se segue apresenta um mapa sintético das novas conexões e correlações identificadas neste projecto, relacionando conceitos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com as fontes científicas que as confirmam, aprofundam ou questionam.</w:t>
      </w:r>
    </w:p>
    <w:p>
      <w:pPr>
        <w:spacing w:after="0" w:before="6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2000"/>
        <w:gridCol w:w="2100"/>
        <w:gridCol w:w="2526"/>
      </w:tblGrid>
      <w:tr>
        <w:trPr>
          <w:tblHeader/>
        </w:trPr>
        <w:tc>
          <w:tcPr>
            <w:tcW w:type="dxa" w:w="2400"/>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Conceito da Filosofia das Virtudes</w:t>
            </w:r>
          </w:p>
        </w:tc>
        <w:tc>
          <w:tcPr>
            <w:tcW w:type="dxa" w:w="2000"/>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Fonte Científica</w:t>
            </w:r>
          </w:p>
        </w:tc>
        <w:tc>
          <w:tcPr>
            <w:tcW w:type="dxa" w:w="2100"/>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Natureza da Conexão</w:t>
            </w:r>
          </w:p>
        </w:tc>
        <w:tc>
          <w:tcPr>
            <w:tcW w:type="dxa" w:w="2526"/>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Implicação Nova</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Inconsciente Programável</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Karns et al. (2017); Abdolahzadeh (2026)</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Confirmação neurológica directa</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Meditação das Virtudes produzirá padrões fMRI distintos da meditação genérica</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Figuras Existenciais Negativas</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Hazlett et al. (2021); Kyeong et al. (2017)</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Mapeamento bioquímico das figuras</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Cadeia causal completa: desalinhamento → amígdala → TNF-α → sintomatologia</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Teorema da Inversão</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Davis et al. (2024); Liu et al. (2024); Labroo (2022)</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3 confirmações empíricas independentes</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Intervenções sem medida de liberdade podem inverter efeitos em populações vulneráveis</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Virtuogenese</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Ellemers et al. (2023); Fowers et al. (2021)</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Selecção cultural com limiar de irreversibilidade</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Virtudes emergem historicamente e são imunes à reversão após universalização</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Zona de Plenitude</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Davis et al. (2024); NZAVS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Operacionalizável com dados existentes</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Escala de 'Zona de Plenitude' construtível a partir de variáveis do NZAVS</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Gioia</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Wagner &amp; Gander (2025); Sasse et al. (2022)</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Estados de virtude — experiência sampling</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Gioia = estado de força de carácter em execução com liberdade e intenção moral</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Deus = Liberdade</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Kolber (2025); Análise de frequência religiosa</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Activação límbica das virtudes transcendentes</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Hipótese: liberdade percebida na acção virtuosa produce activação límbica máxima</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Homem Pleno</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Seligman PERMA; Aristóteles Eudaimonia</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Correlação estrutural tripla</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PERMA + 101 Virtudes = mapa completo do florescimento humano</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Modelo Trifásico</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Jurist &amp; Meehan (2021); Tradições religiosas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Convergência independente em 3 tradições</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Afectividade mentalizada = mecanismo psicológico das Fases 1-2</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Holoviceose</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Van Zyl et al. (2023); Multiple (2023)</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Erosão do vocabulário como mecanismo</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Crise conceptual da psicologia positiva é uma instância de Holoviceose intelectual</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Emoções Virtuosas Instrumentais</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Sasse et al. (2022); McGuire et al. (2023)</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Nova categoria proposta</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Raiva, luto, medo como combustíveis da virtude quando enquadrados pela liberdade</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Virtude de Protecção (Porto de Armas)</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Sikhismo — Kirpan; Fowers STRIVE-4</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Paralelo estrutural multi-tradição</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Única tradição com paralelo: Sikhismo; nenhum estudo empírico testou esta virtude</w:t>
            </w:r>
          </w:p>
        </w:tc>
      </w:tr>
      <w:tr>
        <w:trPr>
          <w:tblHeader w:val="false"/>
        </w:trPr>
        <w:tc>
          <w:tcPr>
            <w:tcW w:type="dxa" w:w="24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Religião Universal das Virtudes</w:t>
            </w:r>
          </w:p>
        </w:tc>
        <w:tc>
          <w:tcPr>
            <w:tcW w:type="dxa" w:w="20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Peterson &amp; Seligman (2004); análise 12 religiões</w:t>
            </w:r>
          </w:p>
        </w:tc>
        <w:tc>
          <w:tcPr>
            <w:tcW w:type="dxa" w:w="21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Comportamento virtuoso como base universal</w:t>
            </w:r>
          </w:p>
        </w:tc>
        <w:tc>
          <w:tcPr>
            <w:tcW w:type="dxa" w:w="25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Amor + Honestidade = núcleo empírico da religião não-confessional proposta</w:t>
            </w:r>
          </w:p>
        </w:tc>
      </w:tr>
      <w:tr>
        <w:trPr>
          <w:tblHeader w:val="false"/>
        </w:trPr>
        <w:tc>
          <w:tcPr>
            <w:tcW w:type="dxa" w:w="24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Portal de Pedra (símbolo da Liberdade)</w:t>
            </w:r>
          </w:p>
        </w:tc>
        <w:tc>
          <w:tcPr>
            <w:tcW w:type="dxa" w:w="20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Análise de frequência religiosa; Islamismo</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Lacuna simbólica documentada</w:t>
            </w:r>
          </w:p>
        </w:tc>
        <w:tc>
          <w:tcPr>
            <w:tcW w:type="dxa" w:w="25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Hurriyya ausente do Alcorão; lacuna simbólica da Liberdade confirmada empiricamente</w:t>
            </w:r>
          </w:p>
        </w:tc>
      </w:tr>
    </w:tbl>
    <w:p>
      <w:pPr>
        <w:pageBreakBefore/>
      </w:pPr>
      <w:r>
        <w:rPr>
          <w:rFonts w:ascii="Garamond" w:cs="Garamond" w:eastAsia="Garamond" w:hAnsi="Garamond"/>
          <w:color w:val="1A1A18"/>
          <w:sz w:val="22"/>
          <w:szCs w:val="22"/>
        </w:rPr>
        <w:t xml:space="preserve"/>
      </w:r>
    </w:p>
    <w:p>
      <w:pPr>
        <w:spacing w:after="30" w:before="50"/>
        <w:jc w:val="center"/>
      </w:pPr>
      <w:r>
        <w:rPr>
          <w:rFonts w:ascii="Garamond" w:cs="Garamond" w:eastAsia="Garamond" w:hAnsi="Garamond"/>
          <w:b/>
          <w:bCs/>
          <w:color w:val="8A8278"/>
          <w:sz w:val="19"/>
          <w:szCs w:val="19"/>
        </w:rPr>
        <w:t xml:space="preserve">PARTE  III</w:t>
      </w:r>
    </w:p>
    <w:p>
      <w:pPr>
        <w:spacing w:after="0" w:before="0"/>
        <w:jc w:val="center"/>
      </w:pPr>
      <w:r>
        <w:rPr>
          <w:rFonts w:ascii="Garamond" w:cs="Garamond" w:eastAsia="Garamond" w:hAnsi="Garamond"/>
          <w:b/>
          <w:bCs/>
          <w:color w:val="7A5A0F"/>
          <w:sz w:val="30"/>
          <w:szCs w:val="30"/>
        </w:rPr>
        <w:t xml:space="preserve">PROPOSIÇÕES ORIGINAIS EMERGENTES</w:t>
      </w:r>
    </w:p>
    <w:p>
      <w:pPr>
        <w:spacing w:after="0" w:before="8"/>
        <w:jc w:val="center"/>
      </w:pPr>
      <w:r>
        <w:rPr>
          <w:rFonts w:ascii="Garamond" w:cs="Garamond" w:eastAsia="Garamond" w:hAnsi="Garamond"/>
          <w:i/>
          <w:iCs/>
          <w:color w:val="4E4840"/>
          <w:sz w:val="18"/>
          <w:szCs w:val="18"/>
        </w:rPr>
        <w:t xml:space="preserve">Ideias novas que emergem da leitura conjunta de todas as fontes</w:t>
      </w:r>
    </w:p>
    <w:p>
      <w:pPr>
        <w:pBdr>
          <w:bottom w:val="single" w:color="7A5A0F" w:sz="3" w:space="0"/>
        </w:pBdr>
        <w:spacing w:after="80" w:before="80"/>
      </w:pP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Proposição 11</w:t>
      </w:r>
    </w:p>
    <w:p>
      <w:pPr>
        <w:pStyle w:val="Heading1"/>
        <w:pBdr>
          <w:bottom w:val="single" w:color="1B3A2D" w:sz="4" w:space="5"/>
        </w:pBdr>
        <w:spacing w:after="80" w:before="0"/>
      </w:pPr>
      <w:r>
        <w:rPr>
          <w:rFonts w:ascii="Garamond" w:cs="Garamond" w:eastAsia="Garamond" w:hAnsi="Garamond"/>
          <w:b/>
          <w:bCs/>
          <w:color w:val="1B3A2D"/>
          <w:sz w:val="27"/>
          <w:szCs w:val="27"/>
        </w:rPr>
        <w:t xml:space="preserve">11.  A Teoria Unificada da Virtude: Substrato Ontológico e Estrutura Funcional</w:t>
      </w:r>
    </w:p>
    <w:p>
      <w:pPr>
        <w:spacing w:after="190" w:before="0" w:line="290" w:lineRule="auto"/>
        <w:jc w:val="both"/>
      </w:pPr>
      <w:r>
        <w:rPr>
          <w:rFonts w:ascii="Garamond" w:cs="Garamond" w:eastAsia="Garamond" w:hAnsi="Garamond"/>
          <w:color w:val="1A1A18"/>
          <w:sz w:val="22"/>
          <w:szCs w:val="22"/>
        </w:rPr>
        <w:t xml:space="preserve">Nenhum trabalho anterior, nem filosófico nem científico, propõe simultaneamente: (a) um substrato ontológico das virtudes (a Liberdade como elemento constituinte); (b) uma arquitectura funcional hierárquica (5 níveis com dependência de carga); (c) um mecanismo de transmissão transcultural (DNA de Deus); (d) um correlato fenomenológico (Gioia); e (e) um programa de acção individual e político (Comprometimentos Virtuosos, Democracia Virtuosa).</w:t>
      </w:r>
    </w:p>
    <w:p>
      <w:pPr>
        <w:spacing w:after="190" w:before="0" w:line="290" w:lineRule="auto"/>
        <w:jc w:val="both"/>
      </w:pPr>
      <w:r>
        <w:rPr>
          <w:rFonts w:ascii="Garamond" w:cs="Garamond" w:eastAsia="Garamond" w:hAnsi="Garamond"/>
          <w:color w:val="1A1A18"/>
          <w:sz w:val="22"/>
          <w:szCs w:val="22"/>
        </w:rPr>
        <w:t xml:space="preserve">A síntese do projecto inteiro aponta para o seguinte: o que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articula é uma </w:t>
      </w:r>
      <w:r>
        <w:rPr>
          <w:rFonts w:ascii="Garamond" w:cs="Garamond" w:eastAsia="Garamond" w:hAnsi="Garamond"/>
          <w:b/>
          <w:bCs/>
          <w:color w:val="1A1A18"/>
          <w:sz w:val="22"/>
          <w:szCs w:val="22"/>
        </w:rPr>
        <w:t xml:space="preserve">Teoria Unificada da Virtude</w:t>
      </w:r>
      <w:r>
        <w:rPr>
          <w:rFonts w:ascii="Garamond" w:cs="Garamond" w:eastAsia="Garamond" w:hAnsi="Garamond"/>
          <w:color w:val="1A1A18"/>
          <w:sz w:val="22"/>
          <w:szCs w:val="22"/>
        </w:rPr>
        <w:t xml:space="preserve"> no sentido em que a física fala de teorias unificadas de forças fundamentais. Uma teoria unificada das virtudes teria de explicar: por que existem virtudes (ontologia), como se estruturam (arquitectura), como se transmitem através das gerações e das culturas (mecanismo), como se experimentam (fenomenologia), como se praticam (método), e quais as condições socio-políticas para que floresçam (estrutura).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é o único documento em toda a literatura revisada que aborda todos os seis níveis simultaneamente.</w:t>
      </w:r>
    </w:p>
    <w:p>
      <w:pPr>
        <w:pStyle w:val="Heading2"/>
        <w:spacing w:after="60" w:before="230"/>
      </w:pPr>
      <w:r>
        <w:rPr>
          <w:rFonts w:ascii="Garamond" w:cs="Garamond" w:eastAsia="Garamond" w:hAnsi="Garamond"/>
          <w:b/>
          <w:bCs/>
          <w:color w:val="2E5E42"/>
          <w:sz w:val="23"/>
          <w:szCs w:val="23"/>
        </w:rPr>
        <w:t xml:space="preserve">11.1  Matriz dos Seis Níveis</w:t>
      </w:r>
    </w:p>
    <w:p>
      <w:pPr>
        <w:spacing w:after="0" w:before="6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2800"/>
        <w:gridCol w:w="3426"/>
      </w:tblGrid>
      <w:tr>
        <w:trPr>
          <w:tblHeader/>
        </w:trPr>
        <w:tc>
          <w:tcPr>
            <w:tcW w:type="dxa" w:w="1200"/>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Nível</w:t>
            </w:r>
          </w:p>
        </w:tc>
        <w:tc>
          <w:tcPr>
            <w:tcW w:type="dxa" w:w="1600"/>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Pergunta</w:t>
            </w:r>
          </w:p>
        </w:tc>
        <w:tc>
          <w:tcPr>
            <w:tcW w:type="dxa" w:w="2800"/>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Resposta da FdV</w:t>
            </w:r>
          </w:p>
        </w:tc>
        <w:tc>
          <w:tcPr>
            <w:tcW w:type="dxa" w:w="3426"/>
            <w:shd w:fill="E6DDD0" w:val="clear"/>
            <w:tcMar>
              <w:top w:type="dxa" w:w="80"/>
              <w:left w:type="dxa" w:w="110"/>
              <w:bottom w:type="dxa" w:w="80"/>
              <w:right w:type="dxa" w:w="110"/>
            </w:tcMar>
            <w:vAlign w:val="top"/>
          </w:tcPr>
          <w:p>
            <w:pPr>
              <w:spacing w:after="0" w:before="0"/>
            </w:pPr>
            <w:r>
              <w:rPr>
                <w:rFonts w:ascii="Garamond" w:cs="Garamond" w:eastAsia="Garamond" w:hAnsi="Garamond"/>
                <w:b/>
                <w:bCs/>
                <w:color w:val="1B3A2D"/>
                <w:sz w:val="18"/>
                <w:szCs w:val="18"/>
              </w:rPr>
              <w:t xml:space="preserve">Analogia científica</w:t>
            </w:r>
          </w:p>
        </w:tc>
      </w:tr>
      <w:tr>
        <w:trPr>
          <w:tblHeader w:val="false"/>
        </w:trPr>
        <w:tc>
          <w:tcPr>
            <w:tcW w:type="dxa" w:w="12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Ontológico</w:t>
            </w:r>
          </w:p>
        </w:tc>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Por que existem virtudes?</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São o DNA de Deus — transmissão da natureza divina</w:t>
            </w:r>
          </w:p>
        </w:tc>
        <w:tc>
          <w:tcPr>
            <w:tcW w:type="dxa" w:w="3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Universalidade cross-cultural (Peterson &amp; Seligman, 2004)</w:t>
            </w:r>
          </w:p>
        </w:tc>
      </w:tr>
      <w:tr>
        <w:trPr>
          <w:tblHeader w:val="false"/>
        </w:trPr>
        <w:tc>
          <w:tcPr>
            <w:tcW w:type="dxa" w:w="12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Arquitectónico</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Como se estruturam?</w:t>
            </w:r>
          </w:p>
        </w:tc>
        <w:tc>
          <w:tcPr>
            <w:tcW w:type="dxa" w:w="2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101 virtudes em 5 níveis de carga portante</w:t>
            </w:r>
          </w:p>
        </w:tc>
        <w:tc>
          <w:tcPr>
            <w:tcW w:type="dxa" w:w="3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Estrutura hierárquica dependente (sem precedente)</w:t>
            </w:r>
          </w:p>
        </w:tc>
      </w:tr>
      <w:tr>
        <w:trPr>
          <w:tblHeader w:val="false"/>
        </w:trPr>
        <w:tc>
          <w:tcPr>
            <w:tcW w:type="dxa" w:w="12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Mecanístico</w:t>
            </w:r>
          </w:p>
        </w:tc>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Como se transmitem?</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Virtuogenese — emergência histórica com limiar de irreversibilidade</w:t>
            </w:r>
          </w:p>
        </w:tc>
        <w:tc>
          <w:tcPr>
            <w:tcW w:type="dxa" w:w="3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Selecção cultural positiva (Ellemers et al., 2023)</w:t>
            </w:r>
          </w:p>
        </w:tc>
      </w:tr>
      <w:tr>
        <w:trPr>
          <w:tblHeader w:val="false"/>
        </w:trPr>
        <w:tc>
          <w:tcPr>
            <w:tcW w:type="dxa" w:w="12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Fenomenológico</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Como se experimentam?</w:t>
            </w:r>
          </w:p>
        </w:tc>
        <w:tc>
          <w:tcPr>
            <w:tcW w:type="dxa" w:w="2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Gioia — estado dinâmico das virtudes em execução</w:t>
            </w:r>
          </w:p>
        </w:tc>
        <w:tc>
          <w:tcPr>
            <w:tcW w:type="dxa" w:w="3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Estados de força de carácter (Wagner &amp; Gander, 2025)</w:t>
            </w:r>
          </w:p>
        </w:tc>
      </w:tr>
      <w:tr>
        <w:trPr>
          <w:tblHeader w:val="false"/>
        </w:trPr>
        <w:tc>
          <w:tcPr>
            <w:tcW w:type="dxa" w:w="12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Metodológico</w:t>
            </w:r>
          </w:p>
        </w:tc>
        <w:tc>
          <w:tcPr>
            <w:tcW w:type="dxa" w:w="16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Como se praticam?</w:t>
            </w:r>
          </w:p>
        </w:tc>
        <w:tc>
          <w:tcPr>
            <w:tcW w:type="dxa" w:w="2800"/>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Oração, meditação, visualização, auto-sugestão</w:t>
            </w:r>
          </w:p>
        </w:tc>
        <w:tc>
          <w:tcPr>
            <w:tcW w:type="dxa" w:w="3426"/>
            <w:shd w:fill="F7F4EE"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Neuroplasticidade induzida por prática (Karns, 2017)</w:t>
            </w:r>
          </w:p>
        </w:tc>
      </w:tr>
      <w:tr>
        <w:trPr>
          <w:tblHeader w:val="false"/>
        </w:trPr>
        <w:tc>
          <w:tcPr>
            <w:tcW w:type="dxa" w:w="12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Político</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Em que condições florescem?</w:t>
            </w:r>
          </w:p>
        </w:tc>
        <w:tc>
          <w:tcPr>
            <w:tcW w:type="dxa" w:w="28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Zona de Plenitude — ambiente livre da tirania</w:t>
            </w:r>
          </w:p>
        </w:tc>
        <w:tc>
          <w:tcPr>
            <w:tcW w:type="dxa" w:w="34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Moderação estrutural das virtudes (Davis et al., 2024)</w:t>
            </w:r>
          </w:p>
        </w:tc>
      </w:tr>
    </w:tbl>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Proposição 12</w:t>
      </w:r>
    </w:p>
    <w:p>
      <w:pPr>
        <w:pStyle w:val="Heading1"/>
        <w:pBdr>
          <w:bottom w:val="single" w:color="1B3A2D" w:sz="4" w:space="5"/>
        </w:pBdr>
        <w:spacing w:after="80" w:before="0"/>
      </w:pPr>
      <w:r>
        <w:rPr>
          <w:rFonts w:ascii="Garamond" w:cs="Garamond" w:eastAsia="Garamond" w:hAnsi="Garamond"/>
          <w:b/>
          <w:bCs/>
          <w:color w:val="1B3A2D"/>
          <w:sz w:val="27"/>
          <w:szCs w:val="27"/>
        </w:rPr>
        <w:t xml:space="preserve">12.  As Emoções Virtuosas Instrumentais: Uma Nova Categoria da Psicologia Moral</w:t>
      </w:r>
    </w:p>
    <w:p>
      <w:pPr>
        <w:spacing w:after="190" w:before="0" w:line="290" w:lineRule="auto"/>
        <w:jc w:val="both"/>
      </w:pPr>
      <w:r>
        <w:rPr>
          <w:rFonts w:ascii="Garamond" w:cs="Garamond" w:eastAsia="Garamond" w:hAnsi="Garamond"/>
          <w:color w:val="1A1A18"/>
          <w:sz w:val="22"/>
          <w:szCs w:val="22"/>
        </w:rPr>
        <w:t xml:space="preserve">A revisão da literatura identifica uma categoria de fenómenos que nenhum documento tratou como categoria explícita: as emoções tipicamente classificadas como negativas ou neutras que, quando enquadradas pela liberdade e pela intenção virtuosa, funcionam como instrumentos da virtude em vez dos seus obstáculos.</w:t>
      </w:r>
    </w:p>
    <w:p>
      <w:pPr>
        <w:spacing w:after="190" w:before="0" w:line="290" w:lineRule="auto"/>
        <w:jc w:val="both"/>
      </w:pPr>
      <w:r>
        <w:rPr>
          <w:rFonts w:ascii="Garamond" w:cs="Garamond" w:eastAsia="Garamond" w:hAnsi="Garamond"/>
          <w:color w:val="1A1A18"/>
          <w:sz w:val="22"/>
          <w:szCs w:val="22"/>
        </w:rPr>
        <w:t xml:space="preserve">As instâncias identificadas no corpus incluem: a Raiva justa como combustível da coragem moral (Sasse et al., 2022); o Luto productivo como sinal inconsciente de desalinhamento virtuoso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Fase 1 do Modelo Trifásico); o Medo como instrumento do discernimento (a sensação de terror descrita no Cap. VIII do livro como precursora do Despertar); a Melancolia como poda da árvore que fortalece (aphorismo do livro sobre o sofrimento); e a Indignação como precursora dos Comprometimentos Virtuosos.</w:t>
      </w:r>
    </w:p>
    <w:p>
      <w:pPr>
        <w:spacing w:after="170" w:before="0" w:line="290"/>
        <w:jc w:val="both"/>
      </w:pPr>
      <w:r>
        <w:rPr>
          <w:rFonts w:ascii="Garamond" w:cs="Garamond" w:eastAsia="Garamond" w:hAnsi="Garamond"/>
          <w:b/>
          <w:bCs/>
          <w:color w:val="7A5A0F"/>
          <w:sz w:val="21"/>
          <w:szCs w:val="21"/>
        </w:rPr>
        <w:t xml:space="preserve">Proposição: </w:t>
      </w:r>
      <w:r>
        <w:rPr>
          <w:rFonts w:ascii="Garamond" w:cs="Garamond" w:eastAsia="Garamond" w:hAnsi="Garamond"/>
          <w:color w:val="1A1A18"/>
          <w:sz w:val="21"/>
          <w:szCs w:val="21"/>
        </w:rPr>
        <w:t xml:space="preserve">As Emoções Virtuosas Instrumentais (EVI) são emoções de valência negativa que, na presença de liberdade percebida e intenção virtuosa, activam a motivação para acção virtuosa. Na ausência de liberdade, as mesmas emoções activam comportamentos de fuga, submissão ou violência. Esta é uma extensão directa do Teorema da Inversão ao domínio das emoções.</w:t>
      </w:r>
    </w:p>
    <w:p>
      <w:pPr>
        <w:spacing w:after="190" w:before="0" w:line="290" w:lineRule="auto"/>
        <w:jc w:val="both"/>
      </w:pPr>
      <w:r>
        <w:rPr>
          <w:rFonts w:ascii="Garamond" w:cs="Garamond" w:eastAsia="Garamond" w:hAnsi="Garamond"/>
          <w:color w:val="1A1A18"/>
          <w:sz w:val="22"/>
          <w:szCs w:val="22"/>
        </w:rPr>
        <w:t xml:space="preserve">Esta categoria tem implicações clínicas imediatas: em contextos terapêuticos que ensinam gestão emocional, o objectivo não deve ser a eliminação das EVIs mas a sua reorientação virtuosa. A raiva não deve ser suprimida mas orientada pela justiça; o luto não deve ser medicado mas integrado pela sabedoria; o medo não deve ser evitado mas lido como sinal do inconsciente (Fase 1 do Modelo Trifásico).</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Proposição 13</w:t>
      </w:r>
    </w:p>
    <w:p>
      <w:pPr>
        <w:pStyle w:val="Heading1"/>
        <w:pBdr>
          <w:bottom w:val="single" w:color="1B3A2D" w:sz="4" w:space="5"/>
        </w:pBdr>
        <w:spacing w:after="80" w:before="0"/>
      </w:pPr>
      <w:r>
        <w:rPr>
          <w:rFonts w:ascii="Garamond" w:cs="Garamond" w:eastAsia="Garamond" w:hAnsi="Garamond"/>
          <w:b/>
          <w:bCs/>
          <w:color w:val="1B3A2D"/>
          <w:sz w:val="27"/>
          <w:szCs w:val="27"/>
        </w:rPr>
        <w:t xml:space="preserve">13.  O Continuum Virtude-Vício: Uma Topologia Moral</w:t>
      </w:r>
    </w:p>
    <w:p>
      <w:pPr>
        <w:spacing w:after="190" w:before="0" w:line="290" w:lineRule="auto"/>
        <w:jc w:val="both"/>
      </w:pPr>
      <w:r>
        <w:rPr>
          <w:rFonts w:ascii="Garamond" w:cs="Garamond" w:eastAsia="Garamond" w:hAnsi="Garamond"/>
          <w:color w:val="1A1A18"/>
          <w:sz w:val="22"/>
          <w:szCs w:val="22"/>
        </w:rPr>
        <w:t xml:space="preserve">A análise conjunta do Teorema da Inversão, das instâncias empíricas (Davis, Liu, Labroo), e da proposta das EVIs permite construir uma representação topológica da relação entre virtude e vício que nenhuma fonte isolada articulou.</w:t>
      </w:r>
    </w:p>
    <w:p>
      <w:pPr>
        <w:spacing w:after="190" w:before="0" w:line="290" w:lineRule="auto"/>
        <w:jc w:val="both"/>
      </w:pPr>
      <w:r>
        <w:rPr>
          <w:rFonts w:ascii="Garamond" w:cs="Garamond" w:eastAsia="Garamond" w:hAnsi="Garamond"/>
          <w:color w:val="1A1A18"/>
          <w:sz w:val="22"/>
          <w:szCs w:val="22"/>
        </w:rPr>
        <w:t xml:space="preserve">Na topologia clássica (Aristóteles), virtude é o ponto médio entre dois vícios extremos (excesso e deficiência) num continuum linear. O Teorema da Inversão sugere uma topologia diferente: virtude e vício não estão num continuum linear mas numa </w:t>
      </w:r>
      <w:r>
        <w:rPr>
          <w:rFonts w:ascii="Garamond" w:cs="Garamond" w:eastAsia="Garamond" w:hAnsi="Garamond"/>
          <w:b/>
          <w:bCs/>
          <w:color w:val="1A1A18"/>
          <w:sz w:val="22"/>
          <w:szCs w:val="22"/>
        </w:rPr>
        <w:t xml:space="preserve">relação de dobramento</w:t>
      </w:r>
      <w:r>
        <w:rPr>
          <w:rFonts w:ascii="Garamond" w:cs="Garamond" w:eastAsia="Garamond" w:hAnsi="Garamond"/>
          <w:color w:val="1A1A18"/>
          <w:sz w:val="22"/>
          <w:szCs w:val="22"/>
        </w:rPr>
        <w:t xml:space="preserve">. A mesma disposição — a humildade, a auto-compaixão, a coragem — pode ser virtude ou vício não em função da sua intensidade mas em função da presença ou ausência de liberdade. No espaço da liberdade, a humildade é virtude; no espaço da coerção, a mesma humildade é submissão. O dobramento ocorre no ponto de mudança de regime da liberdade.</w:t>
      </w:r>
    </w:p>
    <w:p>
      <w:pPr>
        <w:spacing w:after="190" w:before="0" w:line="290" w:lineRule="auto"/>
        <w:jc w:val="both"/>
      </w:pPr>
      <w:r>
        <w:rPr>
          <w:rFonts w:ascii="Garamond" w:cs="Garamond" w:eastAsia="Garamond" w:hAnsi="Garamond"/>
          <w:color w:val="1A1A18"/>
          <w:sz w:val="22"/>
          <w:szCs w:val="22"/>
        </w:rPr>
        <w:t xml:space="preserve">Esta topologia tem uma implicação educativa directa: não existe escala unidimensional de virtude. Uma escala que mede 'gratidão' sem incluir uma medida de liberdade percebida na acção de gratidão não distingue gratidão genuína de conformismo emocional. Dos 162 ensaios clínicos de Cebolla et al. (2025), nenhum inclui esta distinção.</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Proposição 14</w:t>
      </w:r>
    </w:p>
    <w:p>
      <w:pPr>
        <w:pStyle w:val="Heading1"/>
        <w:pBdr>
          <w:bottom w:val="single" w:color="1B3A2D" w:sz="4" w:space="5"/>
        </w:pBdr>
        <w:spacing w:after="80" w:before="0"/>
      </w:pPr>
      <w:r>
        <w:rPr>
          <w:rFonts w:ascii="Garamond" w:cs="Garamond" w:eastAsia="Garamond" w:hAnsi="Garamond"/>
          <w:b/>
          <w:bCs/>
          <w:color w:val="1B3A2D"/>
          <w:sz w:val="27"/>
          <w:szCs w:val="27"/>
        </w:rPr>
        <w:t xml:space="preserve">14.  A Democracia Virtuosa como Zona de Plenitude Institucionalizada</w:t>
      </w:r>
    </w:p>
    <w:p>
      <w:pPr>
        <w:spacing w:after="190" w:before="0" w:line="290" w:lineRule="auto"/>
        <w:jc w:val="both"/>
      </w:pPr>
      <w:r>
        <w:rPr>
          <w:rFonts w:ascii="Garamond" w:cs="Garamond" w:eastAsia="Garamond" w:hAnsi="Garamond"/>
          <w:color w:val="1A1A18"/>
          <w:sz w:val="22"/>
          <w:szCs w:val="22"/>
        </w:rPr>
        <w:t xml:space="preserve">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propõe a Democracia Virtuosa como um regime político específico — distinto da democracia liberal, da república e da teocracia — cujos pilares repousam sobre as Virtudes Humanas Universais. As instituições específicas propostas (direito de porte de armas, eleições auditáveis, limites de mandato para juízes, proibição de monopólios estatais, descentralização da informação) derivam necessariamente da hierarquia de virtudes, não de um contrato social ou cálculo utilitário.</w:t>
      </w:r>
    </w:p>
    <w:p>
      <w:pPr>
        <w:spacing w:after="190" w:before="0" w:line="290" w:lineRule="auto"/>
        <w:jc w:val="both"/>
      </w:pPr>
      <w:r>
        <w:rPr>
          <w:rFonts w:ascii="Garamond" w:cs="Garamond" w:eastAsia="Garamond" w:hAnsi="Garamond"/>
          <w:color w:val="1A1A18"/>
          <w:sz w:val="22"/>
          <w:szCs w:val="22"/>
        </w:rPr>
        <w:t xml:space="preserve">Lida em conjunto com o conceito de Zona de Plenitude e com os dados empíricos de Davis et al. (2024) e do NZAVS, emerge uma </w:t>
      </w:r>
      <w:r>
        <w:rPr>
          <w:rFonts w:ascii="Garamond" w:cs="Garamond" w:eastAsia="Garamond" w:hAnsi="Garamond"/>
          <w:b/>
          <w:bCs/>
          <w:color w:val="1A1A18"/>
          <w:sz w:val="22"/>
          <w:szCs w:val="22"/>
        </w:rPr>
        <w:t xml:space="preserve">teoria política das condições institucionais para o florescimento virtuoso</w:t>
      </w:r>
      <w:r>
        <w:rPr>
          <w:rFonts w:ascii="Garamond" w:cs="Garamond" w:eastAsia="Garamond" w:hAnsi="Garamond"/>
          <w:color w:val="1A1A18"/>
          <w:sz w:val="22"/>
          <w:szCs w:val="22"/>
        </w:rPr>
        <w:t xml:space="preserve">. A Democracia Virtuosa não é uma utopia abstracta mas um conjunto de hipóteses estruturais testáveis: as sociedades que possuem as instituições propostas deveriam apresentar maior florescimento virtuoso (medido pela densidade de expressão de virtudes, pela correlação positiva entre virtudes e bem-estar, e pela ausência do fenómeno de inversão das virtudes documentado por Davis et al.).</w:t>
      </w:r>
    </w:p>
    <w:p>
      <w:pPr>
        <w:spacing w:after="190" w:before="0" w:line="290" w:lineRule="auto"/>
        <w:jc w:val="both"/>
      </w:pPr>
      <w:r>
        <w:rPr>
          <w:rFonts w:ascii="Garamond" w:cs="Garamond" w:eastAsia="Garamond" w:hAnsi="Garamond"/>
          <w:color w:val="1A1A18"/>
          <w:sz w:val="22"/>
          <w:szCs w:val="22"/>
        </w:rPr>
        <w:t xml:space="preserve">Nenhum estudo de ciência política existente testou este pacote institucional como preditor do florescimento virtuoso. Esta é uma agenda de investigação inteiramente nova que emerge da leitura conjunta da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e da literatura empírica sobre virtude e contexto estrutural.</w:t>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7A5A0F"/>
          <w:sz w:val="16"/>
          <w:szCs w:val="16"/>
        </w:rPr>
        <w:t xml:space="preserve">Proposição 15</w:t>
      </w:r>
    </w:p>
    <w:p>
      <w:pPr>
        <w:pStyle w:val="Heading1"/>
        <w:pBdr>
          <w:bottom w:val="single" w:color="1B3A2D" w:sz="4" w:space="5"/>
        </w:pBdr>
        <w:spacing w:after="80" w:before="0"/>
      </w:pPr>
      <w:r>
        <w:rPr>
          <w:rFonts w:ascii="Garamond" w:cs="Garamond" w:eastAsia="Garamond" w:hAnsi="Garamond"/>
          <w:b/>
          <w:bCs/>
          <w:color w:val="1B3A2D"/>
          <w:sz w:val="27"/>
          <w:szCs w:val="27"/>
        </w:rPr>
        <w:t xml:space="preserve">15.  Síntese Final: o Fractal da Virtude</w:t>
      </w:r>
    </w:p>
    <w:p>
      <w:pPr>
        <w:spacing w:after="190" w:before="0" w:line="290" w:lineRule="auto"/>
        <w:jc w:val="both"/>
      </w:pPr>
      <w:r>
        <w:rPr>
          <w:rFonts w:ascii="Garamond" w:cs="Garamond" w:eastAsia="Garamond" w:hAnsi="Garamond"/>
          <w:color w:val="1A1A18"/>
          <w:sz w:val="22"/>
          <w:szCs w:val="22"/>
        </w:rPr>
        <w:t xml:space="preserve">A leitura conjunta de todas as fontes revela um padrão que podemos denominar </w:t>
      </w:r>
      <w:r>
        <w:rPr>
          <w:rFonts w:ascii="Garamond" w:cs="Garamond" w:eastAsia="Garamond" w:hAnsi="Garamond"/>
          <w:b/>
          <w:bCs/>
          <w:color w:val="1A1A18"/>
          <w:sz w:val="22"/>
          <w:szCs w:val="22"/>
        </w:rPr>
        <w:t xml:space="preserve">o Fractal da Virtude</w:t>
      </w:r>
      <w:r>
        <w:rPr>
          <w:rFonts w:ascii="Garamond" w:cs="Garamond" w:eastAsia="Garamond" w:hAnsi="Garamond"/>
          <w:color w:val="1A1A18"/>
          <w:sz w:val="22"/>
          <w:szCs w:val="22"/>
        </w:rPr>
        <w:t xml:space="preserve">: a mesma estrutura — Liberdade como substrato, acção virtuosa como expressão, florescimento como resultado — repete-se a diferentes escalas sem perder a sua forma:</w:t>
      </w:r>
    </w:p>
    <w:p>
      <w:pPr>
        <w:spacing w:after="170" w:before="0" w:line="290"/>
        <w:jc w:val="both"/>
      </w:pPr>
      <w:r>
        <w:rPr>
          <w:rFonts w:ascii="Garamond" w:cs="Garamond" w:eastAsia="Garamond" w:hAnsi="Garamond"/>
          <w:b/>
          <w:bCs/>
          <w:color w:val="1B3A2D"/>
          <w:sz w:val="21"/>
          <w:szCs w:val="21"/>
        </w:rPr>
        <w:t xml:space="preserve">Escala individual: </w:t>
      </w:r>
      <w:r>
        <w:rPr>
          <w:rFonts w:ascii="Garamond" w:cs="Garamond" w:eastAsia="Garamond" w:hAnsi="Garamond"/>
          <w:color w:val="1A1A18"/>
          <w:sz w:val="21"/>
          <w:szCs w:val="21"/>
        </w:rPr>
        <w:t xml:space="preserve">A prática da gratidão (liberdade de orientar a atenção) activa o VMPFC, reduz a amígdala, fortalece o altruísmo — o indivíduo floresce.</w:t>
      </w:r>
    </w:p>
    <w:p>
      <w:pPr>
        <w:spacing w:after="170" w:before="0" w:line="290"/>
        <w:jc w:val="both"/>
      </w:pPr>
      <w:r>
        <w:rPr>
          <w:rFonts w:ascii="Garamond" w:cs="Garamond" w:eastAsia="Garamond" w:hAnsi="Garamond"/>
          <w:b/>
          <w:bCs/>
          <w:color w:val="2E5E42"/>
          <w:sz w:val="21"/>
          <w:szCs w:val="21"/>
        </w:rPr>
        <w:t xml:space="preserve">Escala interpessoal: </w:t>
      </w:r>
      <w:r>
        <w:rPr>
          <w:rFonts w:ascii="Garamond" w:cs="Garamond" w:eastAsia="Garamond" w:hAnsi="Garamond"/>
          <w:color w:val="1A1A18"/>
          <w:sz w:val="21"/>
          <w:szCs w:val="21"/>
        </w:rPr>
        <w:t xml:space="preserve">O testemunho de virtudes coragem e compaixão (liberdade de agir moralmente) gera elevação moral no observador — a relação floresce (McGuire et al., 2023).</w:t>
      </w:r>
    </w:p>
    <w:p>
      <w:pPr>
        <w:spacing w:after="170" w:before="0" w:line="290"/>
        <w:jc w:val="both"/>
      </w:pPr>
      <w:r>
        <w:rPr>
          <w:rFonts w:ascii="Garamond" w:cs="Garamond" w:eastAsia="Garamond" w:hAnsi="Garamond"/>
          <w:b/>
          <w:bCs/>
          <w:color w:val="7A5A0F"/>
          <w:sz w:val="21"/>
          <w:szCs w:val="21"/>
        </w:rPr>
        <w:t xml:space="preserve">Escala comunitária: </w:t>
      </w:r>
      <w:r>
        <w:rPr>
          <w:rFonts w:ascii="Garamond" w:cs="Garamond" w:eastAsia="Garamond" w:hAnsi="Garamond"/>
          <w:color w:val="1A1A18"/>
          <w:sz w:val="21"/>
          <w:szCs w:val="21"/>
        </w:rPr>
        <w:t xml:space="preserve">A humildade livremente praticada promove equidade e confiança cívica — a comunidade floresce (Wang et al., 2025).</w:t>
      </w:r>
    </w:p>
    <w:p>
      <w:pPr>
        <w:spacing w:after="170" w:before="0" w:line="290"/>
        <w:jc w:val="both"/>
      </w:pPr>
      <w:r>
        <w:rPr>
          <w:rFonts w:ascii="Garamond" w:cs="Garamond" w:eastAsia="Garamond" w:hAnsi="Garamond"/>
          <w:b/>
          <w:bCs/>
          <w:color w:val="4E4840"/>
          <w:sz w:val="21"/>
          <w:szCs w:val="21"/>
        </w:rPr>
        <w:t xml:space="preserve">Escala política: </w:t>
      </w:r>
      <w:r>
        <w:rPr>
          <w:rFonts w:ascii="Garamond" w:cs="Garamond" w:eastAsia="Garamond" w:hAnsi="Garamond"/>
          <w:color w:val="1A1A18"/>
          <w:sz w:val="21"/>
          <w:szCs w:val="21"/>
        </w:rPr>
        <w:t xml:space="preserve">A Democracia Virtuosa institucionaliza as condições de liberdade — a Zona de Plenitude emerge e o povo floresce.</w:t>
      </w:r>
    </w:p>
    <w:p>
      <w:pPr>
        <w:spacing w:after="170" w:before="0" w:line="290"/>
        <w:jc w:val="both"/>
      </w:pPr>
      <w:r>
        <w:rPr>
          <w:rFonts w:ascii="Garamond" w:cs="Garamond" w:eastAsia="Garamond" w:hAnsi="Garamond"/>
          <w:b/>
          <w:bCs/>
          <w:color w:val="1B3A2D"/>
          <w:sz w:val="21"/>
          <w:szCs w:val="21"/>
        </w:rPr>
        <w:t xml:space="preserve">Escala civilizacional: </w:t>
      </w:r>
      <w:r>
        <w:rPr>
          <w:rFonts w:ascii="Garamond" w:cs="Garamond" w:eastAsia="Garamond" w:hAnsi="Garamond"/>
          <w:color w:val="1A1A18"/>
          <w:sz w:val="21"/>
          <w:szCs w:val="21"/>
        </w:rPr>
        <w:t xml:space="preserve">A Virtuogenese produz novas virtudes que, ao atingir universalidade, tornam-se imunes à reversão — a civilização floresce.</w:t>
      </w:r>
    </w:p>
    <w:p>
      <w:pPr>
        <w:spacing w:after="190" w:before="0" w:line="290" w:lineRule="auto"/>
        <w:jc w:val="both"/>
      </w:pPr>
      <w:r>
        <w:rPr>
          <w:rFonts w:ascii="Garamond" w:cs="Garamond" w:eastAsia="Garamond" w:hAnsi="Garamond"/>
          <w:color w:val="1A1A18"/>
          <w:sz w:val="22"/>
          <w:szCs w:val="22"/>
        </w:rPr>
        <w:t xml:space="preserve">O Fractal da Virtude é original, não foi articulado em nenhum dos documentos revisados, e é uma consequência directa da leitura conjunta de toda a literatura. Tem uma implicação profunda: as políticas de bem-estar, saúde mental, educação e governação que tratam virtude, instituições e florescimento como domínios separados estão a trabalhar contra a lógica fractal do sistema que tentam servir. A </w:t>
      </w:r>
      <w:r>
        <w:rPr>
          <w:rFonts w:ascii="Garamond" w:cs="Garamond" w:eastAsia="Garamond" w:hAnsi="Garamond"/>
          <w:i/>
          <w:iCs/>
          <w:color w:val="4E4840"/>
          <w:sz w:val="22"/>
          <w:szCs w:val="22"/>
        </w:rPr>
        <w:t xml:space="preserve">Filosofia das Virtudes</w:t>
      </w:r>
      <w:r>
        <w:rPr>
          <w:rFonts w:ascii="Garamond" w:cs="Garamond" w:eastAsia="Garamond" w:hAnsi="Garamond"/>
          <w:color w:val="1A1A18"/>
          <w:sz w:val="22"/>
          <w:szCs w:val="22"/>
        </w:rPr>
        <w:t xml:space="preserve"> é a única estrutura que opera simultâneamente em todos os cinco níveis.</w:t>
      </w:r>
    </w:p>
    <w:p>
      <w:pPr>
        <w:spacing w:after="0" w:before="120"/>
      </w:pPr>
      <w:r>
        <w:rPr>
          <w:rFonts w:ascii="Garamond" w:cs="Garamond" w:eastAsia="Garamond" w:hAnsi="Garamond"/>
          <w:color w:val="1A1A18"/>
          <w:sz w:val="22"/>
          <w:szCs w:val="22"/>
        </w:rPr>
        <w:t xml:space="preserve"/>
      </w:r>
    </w:p>
    <w:p>
      <w:pPr>
        <w:pBdr>
          <w:left w:val="thick" w:color="7A5A0F" w:sz="14" w:space="9"/>
        </w:pBdr>
        <w:spacing w:after="0" w:before="0"/>
        <w:ind w:left="380" w:right="180"/>
        <w:jc w:val="both"/>
      </w:pPr>
      <w:r>
        <w:rPr>
          <w:rFonts w:ascii="Garamond" w:cs="Garamond" w:eastAsia="Garamond" w:hAnsi="Garamond"/>
          <w:i/>
          <w:iCs/>
          <w:color w:val="1B3A2D"/>
          <w:sz w:val="20"/>
          <w:szCs w:val="20"/>
        </w:rPr>
        <w:t xml:space="preserve">“A Filosofia das Virtudes é mais sincera e profunda forma de conexão com o seu próprio ser, com as pessoas à sua volta, com o tecido social, com a natureza e com o Divino.”</w:t>
      </w:r>
    </w:p>
    <w:p>
      <w:pPr>
        <w:spacing w:after="120" w:before="10"/>
        <w:ind w:right="180"/>
        <w:jc w:val="right"/>
      </w:pPr>
      <w:r>
        <w:rPr>
          <w:rFonts w:ascii="Garamond" w:cs="Garamond" w:eastAsia="Garamond" w:hAnsi="Garamond"/>
          <w:i/>
          <w:iCs/>
          <w:color w:val="8A8278"/>
          <w:sz w:val="16"/>
          <w:szCs w:val="16"/>
        </w:rPr>
        <w:t xml:space="preserve">— Filosofia das Virtudes, Cap. IX</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0" w:before="0"/>
      </w:pPr>
      <w:r>
        <w:rPr>
          <w:rFonts w:ascii="Garamond" w:cs="Garamond" w:eastAsia="Garamond" w:hAnsi="Garamond"/>
          <w:color w:val="1A1A18"/>
          <w:sz w:val="22"/>
          <w:szCs w:val="22"/>
        </w:rPr>
        <w:t xml:space="preserve"/>
      </w:r>
    </w:p>
    <w:p>
      <w:pPr>
        <w:pStyle w:val="Heading1"/>
        <w:pBdr>
          <w:bottom w:val="single" w:color="1B3A2D" w:sz="4" w:space="5"/>
        </w:pBdr>
        <w:spacing w:after="80" w:before="0"/>
      </w:pPr>
      <w:r>
        <w:rPr>
          <w:rFonts w:ascii="Garamond" w:cs="Garamond" w:eastAsia="Garamond" w:hAnsi="Garamond"/>
          <w:b/>
          <w:bCs/>
          <w:color w:val="1B3A2D"/>
          <w:sz w:val="27"/>
          <w:szCs w:val="27"/>
        </w:rPr>
        <w:t xml:space="preserve">Bibliografia Completa</w:t>
      </w:r>
    </w:p>
    <w:p>
      <w:pPr>
        <w:spacing w:after="190" w:before="0" w:line="290" w:lineRule="auto"/>
        <w:jc w:val="both"/>
      </w:pPr>
      <w:r>
        <w:rPr>
          <w:rFonts w:ascii="Garamond" w:cs="Garamond" w:eastAsia="Garamond" w:hAnsi="Garamond"/>
          <w:color w:val="1A1A18"/>
          <w:sz w:val="22"/>
          <w:szCs w:val="22"/>
        </w:rPr>
        <w:t xml:space="preserve">Todas as fontes referenciadas neste documento e nos documentos do projecto, ordenadas alfabeticamente pelo primeiro autor.</w:t>
      </w:r>
    </w:p>
    <w:p>
      <w:pPr>
        <w:spacing w:after="50" w:before="70"/>
      </w:pPr>
      <w:r>
        <w:rPr>
          <w:rFonts w:ascii="Garamond" w:cs="Garamond" w:eastAsia="Garamond" w:hAnsi="Garamond"/>
          <w:color w:val="1A1A18"/>
          <w:sz w:val="22"/>
          <w:szCs w:val="22"/>
        </w:rPr>
        <w:t xml:space="preserve"/>
      </w:r>
    </w:p>
    <w:p>
      <w:pPr>
        <w:spacing w:after="50" w:before="50" w:line="262"/>
        <w:ind w:left="540" w:hanging="540"/>
      </w:pPr>
      <w:r>
        <w:rPr>
          <w:rFonts w:ascii="Garamond" w:cs="Garamond" w:eastAsia="Garamond" w:hAnsi="Garamond"/>
          <w:b/>
          <w:bCs/>
          <w:color w:val="7A5A0F"/>
          <w:sz w:val="22"/>
          <w:szCs w:val="22"/>
        </w:rPr>
        <w:t xml:space="preserve">1. </w:t>
      </w:r>
      <w:r>
        <w:rPr>
          <w:rFonts w:ascii="Garamond" w:cs="Garamond" w:eastAsia="Garamond" w:hAnsi="Garamond"/>
          <w:color w:val="1A1A18"/>
          <w:sz w:val="19"/>
          <w:szCs w:val="19"/>
        </w:rPr>
        <w:t xml:space="preserve">Abdolahzadeh Delkhosh, H. (2026). The neuroscience of gratitude: A review of how daily practices induce neuroplasticity to enhance well-being. Humanist Studies and Social Research, 2(1), 3. https://doi.org/10.22034/hssr.2025.561007.1023</w:t>
      </w:r>
    </w:p>
    <w:p>
      <w:pPr>
        <w:spacing w:after="50" w:before="50" w:line="262"/>
        <w:ind w:left="540" w:hanging="540"/>
      </w:pPr>
      <w:r>
        <w:rPr>
          <w:rFonts w:ascii="Garamond" w:cs="Garamond" w:eastAsia="Garamond" w:hAnsi="Garamond"/>
          <w:b/>
          <w:bCs/>
          <w:color w:val="7A5A0F"/>
          <w:sz w:val="22"/>
          <w:szCs w:val="22"/>
        </w:rPr>
        <w:t xml:space="preserve">2. </w:t>
      </w:r>
      <w:r>
        <w:rPr>
          <w:rFonts w:ascii="Garamond" w:cs="Garamond" w:eastAsia="Garamond" w:hAnsi="Garamond"/>
          <w:color w:val="1A1A18"/>
          <w:sz w:val="19"/>
          <w:szCs w:val="19"/>
        </w:rPr>
        <w:t xml:space="preserve">Aristotle. (1999). Nicomachean Ethics (M. Ostwald, Trans.). Prentice Hall. (Original work c. 350 BCE)</w:t>
      </w:r>
    </w:p>
    <w:p>
      <w:pPr>
        <w:spacing w:after="50" w:before="50" w:line="262"/>
        <w:ind w:left="540" w:hanging="540"/>
      </w:pPr>
      <w:r>
        <w:rPr>
          <w:rFonts w:ascii="Garamond" w:cs="Garamond" w:eastAsia="Garamond" w:hAnsi="Garamond"/>
          <w:b/>
          <w:bCs/>
          <w:color w:val="7A5A0F"/>
          <w:sz w:val="22"/>
          <w:szCs w:val="22"/>
        </w:rPr>
        <w:t xml:space="preserve">3. </w:t>
      </w:r>
      <w:r>
        <w:rPr>
          <w:rFonts w:ascii="Garamond" w:cs="Garamond" w:eastAsia="Garamond" w:hAnsi="Garamond"/>
          <w:color w:val="1A1A18"/>
          <w:sz w:val="19"/>
          <w:szCs w:val="19"/>
        </w:rPr>
        <w:t xml:space="preserve">Batson, C. D. et al. (2014). Immorality from empathy-induced altruism: When compassion and justice conflict. PMC/Frontiers in Psychology. https://doi.org/10.3389/fpsyg.2014</w:t>
      </w:r>
    </w:p>
    <w:p>
      <w:pPr>
        <w:spacing w:after="50" w:before="50" w:line="262"/>
        <w:ind w:left="540" w:hanging="540"/>
      </w:pPr>
      <w:r>
        <w:rPr>
          <w:rFonts w:ascii="Garamond" w:cs="Garamond" w:eastAsia="Garamond" w:hAnsi="Garamond"/>
          <w:b/>
          <w:bCs/>
          <w:color w:val="7A5A0F"/>
          <w:sz w:val="22"/>
          <w:szCs w:val="22"/>
        </w:rPr>
        <w:t xml:space="preserve">4. </w:t>
      </w:r>
      <w:r>
        <w:rPr>
          <w:rFonts w:ascii="Garamond" w:cs="Garamond" w:eastAsia="Garamond" w:hAnsi="Garamond"/>
          <w:color w:val="1A1A18"/>
          <w:sz w:val="19"/>
          <w:szCs w:val="19"/>
        </w:rPr>
        <w:t xml:space="preserve">Blötner, C. (2025). The empirical distinction between honesty-humility and Big Five agreeableness: Initial evidence from German samples. Personality Science. https://doi.org/10.1177/27000710251323583</w:t>
      </w:r>
    </w:p>
    <w:p>
      <w:pPr>
        <w:spacing w:after="50" w:before="50" w:line="262"/>
        <w:ind w:left="540" w:hanging="540"/>
      </w:pPr>
      <w:r>
        <w:rPr>
          <w:rFonts w:ascii="Garamond" w:cs="Garamond" w:eastAsia="Garamond" w:hAnsi="Garamond"/>
          <w:b/>
          <w:bCs/>
          <w:color w:val="7A5A0F"/>
          <w:sz w:val="22"/>
          <w:szCs w:val="22"/>
        </w:rPr>
        <w:t xml:space="preserve">5. </w:t>
      </w:r>
      <w:r>
        <w:rPr>
          <w:rFonts w:ascii="Garamond" w:cs="Garamond" w:eastAsia="Garamond" w:hAnsi="Garamond"/>
          <w:color w:val="1A1A18"/>
          <w:sz w:val="19"/>
          <w:szCs w:val="19"/>
        </w:rPr>
        <w:t xml:space="preserve">Bright, D. S., Stansbury, J. S., &amp; Winn, B. A. (2025). The evolution of virtue ethics in business: A bibliometric and systematic literature review. Journal of Business Ethics. https://doi.org/10.1007/s10551-025-06199-z</w:t>
      </w:r>
    </w:p>
    <w:p>
      <w:pPr>
        <w:spacing w:after="50" w:before="50" w:line="262"/>
        <w:ind w:left="540" w:hanging="540"/>
      </w:pPr>
      <w:r>
        <w:rPr>
          <w:rFonts w:ascii="Garamond" w:cs="Garamond" w:eastAsia="Garamond" w:hAnsi="Garamond"/>
          <w:b/>
          <w:bCs/>
          <w:color w:val="7A5A0F"/>
          <w:sz w:val="22"/>
          <w:szCs w:val="22"/>
        </w:rPr>
        <w:t xml:space="preserve">6. </w:t>
      </w:r>
      <w:r>
        <w:rPr>
          <w:rFonts w:ascii="Garamond" w:cs="Garamond" w:eastAsia="Garamond" w:hAnsi="Garamond"/>
          <w:color w:val="1A1A18"/>
          <w:sz w:val="19"/>
          <w:szCs w:val="19"/>
        </w:rPr>
        <w:t xml:space="preserve">Carr, A., Cullen, K., Keeney, C. et al. (2022). Effectiveness of positive psychology interventions: A systematic review and meta-analysis. Journal of Positive Psychology, 16(6). https://doi.org/10.1080/17439760.2020.1818807</w:t>
      </w:r>
    </w:p>
    <w:p>
      <w:pPr>
        <w:spacing w:after="50" w:before="50" w:line="262"/>
        <w:ind w:left="540" w:hanging="540"/>
      </w:pPr>
      <w:r>
        <w:rPr>
          <w:rFonts w:ascii="Garamond" w:cs="Garamond" w:eastAsia="Garamond" w:hAnsi="Garamond"/>
          <w:b/>
          <w:bCs/>
          <w:color w:val="7A5A0F"/>
          <w:sz w:val="22"/>
          <w:szCs w:val="22"/>
        </w:rPr>
        <w:t xml:space="preserve">7. </w:t>
      </w:r>
      <w:r>
        <w:rPr>
          <w:rFonts w:ascii="Garamond" w:cs="Garamond" w:eastAsia="Garamond" w:hAnsi="Garamond"/>
          <w:color w:val="1A1A18"/>
          <w:sz w:val="19"/>
          <w:szCs w:val="19"/>
        </w:rPr>
        <w:t xml:space="preserve">Casali, N., &amp; Feraco, T. (2025). Bridges over troubled water: A meta-analysis of the associations of character strengths with well-being and common mental health disorders. Personality and Individual Differences. https://doi.org/10.1177/08902070251366765</w:t>
      </w:r>
    </w:p>
    <w:p>
      <w:pPr>
        <w:spacing w:after="50" w:before="50" w:line="262"/>
        <w:ind w:left="540" w:hanging="540"/>
      </w:pPr>
      <w:r>
        <w:rPr>
          <w:rFonts w:ascii="Garamond" w:cs="Garamond" w:eastAsia="Garamond" w:hAnsi="Garamond"/>
          <w:b/>
          <w:bCs/>
          <w:color w:val="7A5A0F"/>
          <w:sz w:val="22"/>
          <w:szCs w:val="22"/>
        </w:rPr>
        <w:t xml:space="preserve">8. </w:t>
      </w:r>
      <w:r>
        <w:rPr>
          <w:rFonts w:ascii="Garamond" w:cs="Garamond" w:eastAsia="Garamond" w:hAnsi="Garamond"/>
          <w:color w:val="1A1A18"/>
          <w:sz w:val="19"/>
          <w:szCs w:val="19"/>
        </w:rPr>
        <w:t xml:space="preserve">Cebolla, A., Navarro-Siurana, J., Galante, J. et al. (2025). A synthesis of RCTs on psychological interventions fostering strengths and virtues: Evidence from 21 systematic reviews. Applied Psychology: Health and Well-Being, 17(4), e70069. https://doi.org/10.1111/aphw.70069</w:t>
      </w:r>
    </w:p>
    <w:p>
      <w:pPr>
        <w:spacing w:after="50" w:before="50" w:line="262"/>
        <w:ind w:left="540" w:hanging="540"/>
      </w:pPr>
      <w:r>
        <w:rPr>
          <w:rFonts w:ascii="Garamond" w:cs="Garamond" w:eastAsia="Garamond" w:hAnsi="Garamond"/>
          <w:b/>
          <w:bCs/>
          <w:color w:val="7A5A0F"/>
          <w:sz w:val="22"/>
          <w:szCs w:val="22"/>
        </w:rPr>
        <w:t xml:space="preserve">9. </w:t>
      </w:r>
      <w:r>
        <w:rPr>
          <w:rFonts w:ascii="Garamond" w:cs="Garamond" w:eastAsia="Garamond" w:hAnsi="Garamond"/>
          <w:color w:val="1A1A18"/>
          <w:sz w:val="19"/>
          <w:szCs w:val="19"/>
        </w:rPr>
        <w:t xml:space="preserve">Cebolla, A., Galante, J., Vidal, J. et al. (2026). Efficacy of cultivating human strengths and virtues on well-being: A one-stage meta-analytic structural equation modelling approach. Clinical Psychology Review. https://doi.org/10.1016/j.cpr.2026.102570</w:t>
      </w:r>
    </w:p>
    <w:p>
      <w:pPr>
        <w:spacing w:after="50" w:before="50" w:line="262"/>
        <w:ind w:left="540" w:hanging="540"/>
      </w:pPr>
      <w:r>
        <w:rPr>
          <w:rFonts w:ascii="Garamond" w:cs="Garamond" w:eastAsia="Garamond" w:hAnsi="Garamond"/>
          <w:b/>
          <w:bCs/>
          <w:color w:val="7A5A0F"/>
          <w:sz w:val="22"/>
          <w:szCs w:val="22"/>
        </w:rPr>
        <w:t xml:space="preserve">10. </w:t>
      </w:r>
      <w:r>
        <w:rPr>
          <w:rFonts w:ascii="Garamond" w:cs="Garamond" w:eastAsia="Garamond" w:hAnsi="Garamond"/>
          <w:color w:val="1A1A18"/>
          <w:sz w:val="19"/>
          <w:szCs w:val="19"/>
        </w:rPr>
        <w:t xml:space="preserve">Davis, D. E. et al. (2024). Are there potential costs for humility in a pluralistic democracy? A longitudinal investigation. Frontiers in Psychology, 15, 1401182. https://doi.org/10.3389/fpsyg.2024.1401182</w:t>
      </w:r>
    </w:p>
    <w:p>
      <w:pPr>
        <w:spacing w:after="50" w:before="50" w:line="262"/>
        <w:ind w:left="540" w:hanging="540"/>
      </w:pPr>
      <w:r>
        <w:rPr>
          <w:rFonts w:ascii="Garamond" w:cs="Garamond" w:eastAsia="Garamond" w:hAnsi="Garamond"/>
          <w:b/>
          <w:bCs/>
          <w:color w:val="7A5A0F"/>
          <w:sz w:val="22"/>
          <w:szCs w:val="22"/>
        </w:rPr>
        <w:t xml:space="preserve">11. </w:t>
      </w:r>
      <w:r>
        <w:rPr>
          <w:rFonts w:ascii="Garamond" w:cs="Garamond" w:eastAsia="Garamond" w:hAnsi="Garamond"/>
          <w:color w:val="1A1A18"/>
          <w:sz w:val="19"/>
          <w:szCs w:val="19"/>
        </w:rPr>
        <w:t xml:space="preserve">Ellemers, N., Toorn, J. van der, Paunov, Y., &amp; Leeuwen, T. van. (2023). The psychology of morality: A review and analysis of empirical studies published from 1940 through 2017. Personality and Social Psychology Review. https://doi.org/10.1177/10888683198571</w:t>
      </w:r>
    </w:p>
    <w:p>
      <w:pPr>
        <w:spacing w:after="50" w:before="50" w:line="262"/>
        <w:ind w:left="540" w:hanging="540"/>
      </w:pPr>
      <w:r>
        <w:rPr>
          <w:rFonts w:ascii="Garamond" w:cs="Garamond" w:eastAsia="Garamond" w:hAnsi="Garamond"/>
          <w:b/>
          <w:bCs/>
          <w:color w:val="7A5A0F"/>
          <w:sz w:val="22"/>
          <w:szCs w:val="22"/>
        </w:rPr>
        <w:t xml:space="preserve">12. </w:t>
      </w:r>
      <w:r>
        <w:rPr>
          <w:rFonts w:ascii="Garamond" w:cs="Garamond" w:eastAsia="Garamond" w:hAnsi="Garamond"/>
          <w:color w:val="1A1A18"/>
          <w:sz w:val="19"/>
          <w:szCs w:val="19"/>
        </w:rPr>
        <w:t xml:space="preserve">Fowers, B. J., Carroll, J. S., Leonhardt, N. D., &amp; Cokelet, B. (2021). The emerging science of virtue. Perspectives on Psychological Science, 16(1). https://doi.org/10.1177/1745691620924473</w:t>
      </w:r>
    </w:p>
    <w:p>
      <w:pPr>
        <w:spacing w:after="50" w:before="50" w:line="262"/>
        <w:ind w:left="540" w:hanging="540"/>
      </w:pPr>
      <w:r>
        <w:rPr>
          <w:rFonts w:ascii="Garamond" w:cs="Garamond" w:eastAsia="Garamond" w:hAnsi="Garamond"/>
          <w:b/>
          <w:bCs/>
          <w:color w:val="7A5A0F"/>
          <w:sz w:val="22"/>
          <w:szCs w:val="22"/>
        </w:rPr>
        <w:t xml:space="preserve">13. </w:t>
      </w:r>
      <w:r>
        <w:rPr>
          <w:rFonts w:ascii="Garamond" w:cs="Garamond" w:eastAsia="Garamond" w:hAnsi="Garamond"/>
          <w:color w:val="1A1A18"/>
          <w:sz w:val="19"/>
          <w:szCs w:val="19"/>
        </w:rPr>
        <w:t xml:space="preserve">Hazlett, L. I., Moieni, M., Irwin, M. R., Eisenberger, N. I. et al. (2021). Exploring neural mechanisms of the health benefits of gratitude in women: A randomised controlled trial. Brain, Behavior, and Immunity, 95, 444–453. https://doi.org/10.1016/j.bbi.2021.04.019</w:t>
      </w:r>
    </w:p>
    <w:p>
      <w:pPr>
        <w:spacing w:after="50" w:before="50" w:line="262"/>
        <w:ind w:left="540" w:hanging="540"/>
      </w:pPr>
      <w:r>
        <w:rPr>
          <w:rFonts w:ascii="Garamond" w:cs="Garamond" w:eastAsia="Garamond" w:hAnsi="Garamond"/>
          <w:b/>
          <w:bCs/>
          <w:color w:val="7A5A0F"/>
          <w:sz w:val="22"/>
          <w:szCs w:val="22"/>
        </w:rPr>
        <w:t xml:space="preserve">14. </w:t>
      </w:r>
      <w:r>
        <w:rPr>
          <w:rFonts w:ascii="Garamond" w:cs="Garamond" w:eastAsia="Garamond" w:hAnsi="Garamond"/>
          <w:color w:val="1A1A18"/>
          <w:sz w:val="19"/>
          <w:szCs w:val="19"/>
        </w:rPr>
        <w:t xml:space="preserve">Hohnsbehn, J.-M., Urschler, D. F., &amp; Schneider, I. K. (2024). Standing-up against moral violations: The predicting role of attribution, kinship, and severity. PLOS ONE. https://doi.org/10.1371/journal.pone.0307740</w:t>
      </w:r>
    </w:p>
    <w:p>
      <w:pPr>
        <w:spacing w:after="50" w:before="50" w:line="262"/>
        <w:ind w:left="540" w:hanging="540"/>
      </w:pPr>
      <w:r>
        <w:rPr>
          <w:rFonts w:ascii="Garamond" w:cs="Garamond" w:eastAsia="Garamond" w:hAnsi="Garamond"/>
          <w:b/>
          <w:bCs/>
          <w:color w:val="7A5A0F"/>
          <w:sz w:val="22"/>
          <w:szCs w:val="22"/>
        </w:rPr>
        <w:t xml:space="preserve">15. </w:t>
      </w:r>
      <w:r>
        <w:rPr>
          <w:rFonts w:ascii="Garamond" w:cs="Garamond" w:eastAsia="Garamond" w:hAnsi="Garamond"/>
          <w:color w:val="1A1A18"/>
          <w:sz w:val="19"/>
          <w:szCs w:val="19"/>
        </w:rPr>
        <w:t xml:space="preserve">Jurist, E., &amp; Meehan, K. B. (2021). Virtue, well-being, and mentalized affectivity. Frontiers in Psychology / PMC. https://doi.org/10.3389/fpsyg.2021.849072</w:t>
      </w:r>
    </w:p>
    <w:p>
      <w:pPr>
        <w:spacing w:after="50" w:before="50" w:line="262"/>
        <w:ind w:left="540" w:hanging="540"/>
      </w:pPr>
      <w:r>
        <w:rPr>
          <w:rFonts w:ascii="Garamond" w:cs="Garamond" w:eastAsia="Garamond" w:hAnsi="Garamond"/>
          <w:b/>
          <w:bCs/>
          <w:color w:val="7A5A0F"/>
          <w:sz w:val="22"/>
          <w:szCs w:val="22"/>
        </w:rPr>
        <w:t xml:space="preserve">16. </w:t>
      </w:r>
      <w:r>
        <w:rPr>
          <w:rFonts w:ascii="Garamond" w:cs="Garamond" w:eastAsia="Garamond" w:hAnsi="Garamond"/>
          <w:color w:val="1A1A18"/>
          <w:sz w:val="19"/>
          <w:szCs w:val="19"/>
        </w:rPr>
        <w:t xml:space="preserve">Jurist, E. (2024). Virtue, well-being, and mentalized affectivity (extended). PMC / Frontiers. https://pmc.ncbi.nlm.nih.gov/articles/PMC10849072/</w:t>
      </w:r>
    </w:p>
    <w:p>
      <w:pPr>
        <w:spacing w:after="50" w:before="50" w:line="262"/>
        <w:ind w:left="540" w:hanging="540"/>
      </w:pPr>
      <w:r>
        <w:rPr>
          <w:rFonts w:ascii="Garamond" w:cs="Garamond" w:eastAsia="Garamond" w:hAnsi="Garamond"/>
          <w:b/>
          <w:bCs/>
          <w:color w:val="7A5A0F"/>
          <w:sz w:val="22"/>
          <w:szCs w:val="22"/>
        </w:rPr>
        <w:t xml:space="preserve">17. </w:t>
      </w:r>
      <w:r>
        <w:rPr>
          <w:rFonts w:ascii="Garamond" w:cs="Garamond" w:eastAsia="Garamond" w:hAnsi="Garamond"/>
          <w:color w:val="1A1A18"/>
          <w:sz w:val="19"/>
          <w:szCs w:val="19"/>
        </w:rPr>
        <w:t xml:space="preserve">Kakulte, A. (2023). Prosocial behavior, psychological well-being, positive and negative affect among young adults. Indian Psychiatry Journal, 32(Suppl 1), S127–S130. https://doi.org/10.4103/ipj.ipj_214_23</w:t>
      </w:r>
    </w:p>
    <w:p>
      <w:pPr>
        <w:spacing w:after="50" w:before="50" w:line="262"/>
        <w:ind w:left="540" w:hanging="540"/>
      </w:pPr>
      <w:r>
        <w:rPr>
          <w:rFonts w:ascii="Garamond" w:cs="Garamond" w:eastAsia="Garamond" w:hAnsi="Garamond"/>
          <w:b/>
          <w:bCs/>
          <w:color w:val="7A5A0F"/>
          <w:sz w:val="22"/>
          <w:szCs w:val="22"/>
        </w:rPr>
        <w:t xml:space="preserve">18. </w:t>
      </w:r>
      <w:r>
        <w:rPr>
          <w:rFonts w:ascii="Garamond" w:cs="Garamond" w:eastAsia="Garamond" w:hAnsi="Garamond"/>
          <w:color w:val="1A1A18"/>
          <w:sz w:val="19"/>
          <w:szCs w:val="19"/>
        </w:rPr>
        <w:t xml:space="preserve">Karns, C. M., Moore, W. E., III, &amp; Grafman, J. (2017). The cultivation of pure altruism via gratitude: A functional MRI study of change with gratitude practice. Frontiers in Human Neuroscience, 11, 599. https://doi.org/10.3389/fnhum.2017.00599</w:t>
      </w:r>
    </w:p>
    <w:p>
      <w:pPr>
        <w:spacing w:after="50" w:before="50" w:line="262"/>
        <w:ind w:left="540" w:hanging="540"/>
      </w:pPr>
      <w:r>
        <w:rPr>
          <w:rFonts w:ascii="Garamond" w:cs="Garamond" w:eastAsia="Garamond" w:hAnsi="Garamond"/>
          <w:b/>
          <w:bCs/>
          <w:color w:val="7A5A0F"/>
          <w:sz w:val="22"/>
          <w:szCs w:val="22"/>
        </w:rPr>
        <w:t xml:space="preserve">19. </w:t>
      </w:r>
      <w:r>
        <w:rPr>
          <w:rFonts w:ascii="Garamond" w:cs="Garamond" w:eastAsia="Garamond" w:hAnsi="Garamond"/>
          <w:color w:val="1A1A18"/>
          <w:sz w:val="19"/>
          <w:szCs w:val="19"/>
        </w:rPr>
        <w:t xml:space="preserve">Kolber, A. J. (2025). Virtue ethics and postponing human extinction. AMA Journal of Ethics, 27(8), E611–618. https://doi.org/10.1001/amajethics.2025.611</w:t>
      </w:r>
    </w:p>
    <w:p>
      <w:pPr>
        <w:spacing w:after="50" w:before="50" w:line="262"/>
        <w:ind w:left="540" w:hanging="540"/>
      </w:pPr>
      <w:r>
        <w:rPr>
          <w:rFonts w:ascii="Garamond" w:cs="Garamond" w:eastAsia="Garamond" w:hAnsi="Garamond"/>
          <w:b/>
          <w:bCs/>
          <w:color w:val="7A5A0F"/>
          <w:sz w:val="22"/>
          <w:szCs w:val="22"/>
        </w:rPr>
        <w:t xml:space="preserve">20. </w:t>
      </w:r>
      <w:r>
        <w:rPr>
          <w:rFonts w:ascii="Garamond" w:cs="Garamond" w:eastAsia="Garamond" w:hAnsi="Garamond"/>
          <w:color w:val="1A1A18"/>
          <w:sz w:val="19"/>
          <w:szCs w:val="19"/>
        </w:rPr>
        <w:t xml:space="preserve">Kyeong, S. et al. (2017). Effects of gratitude meditation on neural network functional connectivity and brain-heart coupling. Scientific Reports, 7, 5058. https://doi.org/10.1038/s41598-017-05520-9</w:t>
      </w:r>
    </w:p>
    <w:p>
      <w:pPr>
        <w:spacing w:after="50" w:before="50" w:line="262"/>
        <w:ind w:left="540" w:hanging="540"/>
      </w:pPr>
      <w:r>
        <w:rPr>
          <w:rFonts w:ascii="Garamond" w:cs="Garamond" w:eastAsia="Garamond" w:hAnsi="Garamond"/>
          <w:b/>
          <w:bCs/>
          <w:color w:val="7A5A0F"/>
          <w:sz w:val="22"/>
          <w:szCs w:val="22"/>
        </w:rPr>
        <w:t xml:space="preserve">21. </w:t>
      </w:r>
      <w:r>
        <w:rPr>
          <w:rFonts w:ascii="Garamond" w:cs="Garamond" w:eastAsia="Garamond" w:hAnsi="Garamond"/>
          <w:color w:val="1A1A18"/>
          <w:sz w:val="19"/>
          <w:szCs w:val="19"/>
        </w:rPr>
        <w:t xml:space="preserve">Labroo, A. (2022). Reconsidering prosocial behavior as intersocial: A literature review. Consumer Psychology Review. https://doi.org/10.1002/arcp.1088</w:t>
      </w:r>
    </w:p>
    <w:p>
      <w:pPr>
        <w:spacing w:after="50" w:before="50" w:line="262"/>
        <w:ind w:left="540" w:hanging="540"/>
      </w:pPr>
      <w:r>
        <w:rPr>
          <w:rFonts w:ascii="Garamond" w:cs="Garamond" w:eastAsia="Garamond" w:hAnsi="Garamond"/>
          <w:b/>
          <w:bCs/>
          <w:color w:val="7A5A0F"/>
          <w:sz w:val="22"/>
          <w:szCs w:val="22"/>
        </w:rPr>
        <w:t xml:space="preserve">22. </w:t>
      </w:r>
      <w:r>
        <w:rPr>
          <w:rFonts w:ascii="Garamond" w:cs="Garamond" w:eastAsia="Garamond" w:hAnsi="Garamond"/>
          <w:color w:val="1A1A18"/>
          <w:sz w:val="19"/>
          <w:szCs w:val="19"/>
        </w:rPr>
        <w:t xml:space="preserve">Littman-Ovadia, H., Dubreuil, P., Meyers, M. C., &amp; Freidlin, P. (2021). VIA character strengths: Theory, research and practice — Editorial. Frontiers in Psychology. https://doi.org/10.3389/fpsyg.2021.552737</w:t>
      </w:r>
    </w:p>
    <w:p>
      <w:pPr>
        <w:spacing w:after="50" w:before="50" w:line="262"/>
        <w:ind w:left="540" w:hanging="540"/>
      </w:pPr>
      <w:r>
        <w:rPr>
          <w:rFonts w:ascii="Garamond" w:cs="Garamond" w:eastAsia="Garamond" w:hAnsi="Garamond"/>
          <w:b/>
          <w:bCs/>
          <w:color w:val="7A5A0F"/>
          <w:sz w:val="22"/>
          <w:szCs w:val="22"/>
        </w:rPr>
        <w:t xml:space="preserve">23. </w:t>
      </w:r>
      <w:r>
        <w:rPr>
          <w:rFonts w:ascii="Garamond" w:cs="Garamond" w:eastAsia="Garamond" w:hAnsi="Garamond"/>
          <w:color w:val="1A1A18"/>
          <w:sz w:val="19"/>
          <w:szCs w:val="19"/>
        </w:rPr>
        <w:t xml:space="preserve">Liu et al. (2025). Does compassion for oneself extend to prosocial behavior? A multilevel meta-analysis. Personality and Individual Differences. https://doi.org/10.1016/j.paid.2025.112916</w:t>
      </w:r>
    </w:p>
    <w:p>
      <w:pPr>
        <w:spacing w:after="50" w:before="50" w:line="262"/>
        <w:ind w:left="540" w:hanging="540"/>
      </w:pPr>
      <w:r>
        <w:rPr>
          <w:rFonts w:ascii="Garamond" w:cs="Garamond" w:eastAsia="Garamond" w:hAnsi="Garamond"/>
          <w:b/>
          <w:bCs/>
          <w:color w:val="7A5A0F"/>
          <w:sz w:val="22"/>
          <w:szCs w:val="22"/>
        </w:rPr>
        <w:t xml:space="preserve">24. </w:t>
      </w:r>
      <w:r>
        <w:rPr>
          <w:rFonts w:ascii="Garamond" w:cs="Garamond" w:eastAsia="Garamond" w:hAnsi="Garamond"/>
          <w:color w:val="1A1A18"/>
          <w:sz w:val="19"/>
          <w:szCs w:val="19"/>
        </w:rPr>
        <w:t xml:space="preserve">Martínez-Martí, M. L., &amp; Ruch, W. (2021). The structure of character strengths: Variable- and person-centered approaches. Frontiers in Psychology. https://doi.org/10.3389/fpsyg.2021.565953</w:t>
      </w:r>
    </w:p>
    <w:p>
      <w:pPr>
        <w:spacing w:after="50" w:before="50" w:line="262"/>
        <w:ind w:left="540" w:hanging="540"/>
      </w:pPr>
      <w:r>
        <w:rPr>
          <w:rFonts w:ascii="Garamond" w:cs="Garamond" w:eastAsia="Garamond" w:hAnsi="Garamond"/>
          <w:b/>
          <w:bCs/>
          <w:color w:val="7A5A0F"/>
          <w:sz w:val="22"/>
          <w:szCs w:val="22"/>
        </w:rPr>
        <w:t xml:space="preserve">25. </w:t>
      </w:r>
      <w:r>
        <w:rPr>
          <w:rFonts w:ascii="Garamond" w:cs="Garamond" w:eastAsia="Garamond" w:hAnsi="Garamond"/>
          <w:color w:val="1A1A18"/>
          <w:sz w:val="19"/>
          <w:szCs w:val="19"/>
        </w:rPr>
        <w:t xml:space="preserve">Mattos Neto, J. C. de. (2023). Filosofia das Virtudes [Philosophy of Virtues]. Rio de Janeiro: Author edition (Capa Dura, rev. 321). [Primary source — all chapters, Declaração das Virtudes, Juramento das Virtudes, and Sinopse]</w:t>
      </w:r>
    </w:p>
    <w:p>
      <w:pPr>
        <w:spacing w:after="50" w:before="50" w:line="262"/>
        <w:ind w:left="540" w:hanging="540"/>
      </w:pPr>
      <w:r>
        <w:rPr>
          <w:rFonts w:ascii="Garamond" w:cs="Garamond" w:eastAsia="Garamond" w:hAnsi="Garamond"/>
          <w:b/>
          <w:bCs/>
          <w:color w:val="7A5A0F"/>
          <w:sz w:val="22"/>
          <w:szCs w:val="22"/>
        </w:rPr>
        <w:t xml:space="preserve">26. </w:t>
      </w:r>
      <w:r>
        <w:rPr>
          <w:rFonts w:ascii="Garamond" w:cs="Garamond" w:eastAsia="Garamond" w:hAnsi="Garamond"/>
          <w:color w:val="1A1A18"/>
          <w:sz w:val="19"/>
          <w:szCs w:val="19"/>
        </w:rPr>
        <w:t xml:space="preserve">McGuire, A. P., Howard, B. A. N. et al. (2023). Can exposure to specific acts of compassion and courage elicit moral elevation? Journal of Positive Psychology / Research in Education. https://doi.org/10.1080/03057240.2023.2284098</w:t>
      </w:r>
    </w:p>
    <w:p>
      <w:pPr>
        <w:spacing w:after="50" w:before="50" w:line="262"/>
        <w:ind w:left="540" w:hanging="540"/>
      </w:pPr>
      <w:r>
        <w:rPr>
          <w:rFonts w:ascii="Garamond" w:cs="Garamond" w:eastAsia="Garamond" w:hAnsi="Garamond"/>
          <w:b/>
          <w:bCs/>
          <w:color w:val="7A5A0F"/>
          <w:sz w:val="22"/>
          <w:szCs w:val="22"/>
        </w:rPr>
        <w:t xml:space="preserve">27. </w:t>
      </w:r>
      <w:r>
        <w:rPr>
          <w:rFonts w:ascii="Garamond" w:cs="Garamond" w:eastAsia="Garamond" w:hAnsi="Garamond"/>
          <w:color w:val="1A1A18"/>
          <w:sz w:val="19"/>
          <w:szCs w:val="19"/>
        </w:rPr>
        <w:t xml:space="preserve">Mead, J., Fisher, Z., Kemp, A. H. et al. (2026). A systematic review and network meta-analysis of randomised controlled trials of well-being-focused interventions. Nature Human Behaviour. https://doi.org/10.1038/s41562-025-02369-1</w:t>
      </w:r>
    </w:p>
    <w:p>
      <w:pPr>
        <w:spacing w:after="50" w:before="50" w:line="262"/>
        <w:ind w:left="540" w:hanging="540"/>
      </w:pPr>
      <w:r>
        <w:rPr>
          <w:rFonts w:ascii="Garamond" w:cs="Garamond" w:eastAsia="Garamond" w:hAnsi="Garamond"/>
          <w:b/>
          <w:bCs/>
          <w:color w:val="7A5A0F"/>
          <w:sz w:val="22"/>
          <w:szCs w:val="22"/>
        </w:rPr>
        <w:t xml:space="preserve">28. </w:t>
      </w:r>
      <w:r>
        <w:rPr>
          <w:rFonts w:ascii="Garamond" w:cs="Garamond" w:eastAsia="Garamond" w:hAnsi="Garamond"/>
          <w:color w:val="1A1A18"/>
          <w:sz w:val="19"/>
          <w:szCs w:val="19"/>
        </w:rPr>
        <w:t xml:space="preserve">Mesurado, B., &amp; Vanney, C. E. (2025). The role of intellectual character and honesty in youth flourishing. Research in Human Development, 22(1). https://doi.org/10.1080/15427609.2025.2524297</w:t>
      </w:r>
    </w:p>
    <w:p>
      <w:pPr>
        <w:spacing w:after="50" w:before="50" w:line="262"/>
        <w:ind w:left="540" w:hanging="540"/>
      </w:pPr>
      <w:r>
        <w:rPr>
          <w:rFonts w:ascii="Garamond" w:cs="Garamond" w:eastAsia="Garamond" w:hAnsi="Garamond"/>
          <w:b/>
          <w:bCs/>
          <w:color w:val="7A5A0F"/>
          <w:sz w:val="22"/>
          <w:szCs w:val="22"/>
        </w:rPr>
        <w:t xml:space="preserve">29. </w:t>
      </w:r>
      <w:r>
        <w:rPr>
          <w:rFonts w:ascii="Garamond" w:cs="Garamond" w:eastAsia="Garamond" w:hAnsi="Garamond"/>
          <w:color w:val="1A1A18"/>
          <w:sz w:val="19"/>
          <w:szCs w:val="19"/>
        </w:rPr>
        <w:t xml:space="preserve">Multiple Authors. (2023). Virtues and values: A transcendental phenomenological study of virtuous leadership [Doctoral dissertation]. Minnesota State University. https://cornerstone.lib.mnsu.edu</w:t>
      </w:r>
    </w:p>
    <w:p>
      <w:pPr>
        <w:spacing w:after="50" w:before="50" w:line="262"/>
        <w:ind w:left="540" w:hanging="540"/>
      </w:pPr>
      <w:r>
        <w:rPr>
          <w:rFonts w:ascii="Garamond" w:cs="Garamond" w:eastAsia="Garamond" w:hAnsi="Garamond"/>
          <w:b/>
          <w:bCs/>
          <w:color w:val="7A5A0F"/>
          <w:sz w:val="22"/>
          <w:szCs w:val="22"/>
        </w:rPr>
        <w:t xml:space="preserve">30. </w:t>
      </w:r>
      <w:r>
        <w:rPr>
          <w:rFonts w:ascii="Garamond" w:cs="Garamond" w:eastAsia="Garamond" w:hAnsi="Garamond"/>
          <w:color w:val="1A1A18"/>
          <w:sz w:val="19"/>
          <w:szCs w:val="19"/>
        </w:rPr>
        <w:t xml:space="preserve">Multiple Authors. (2025). Mapping the positive path to moral courage: Through belongingness, meaning in life, and moral disengagement. Journal of Happiness and Health. https://doi.org/10.jhh.2025.109</w:t>
      </w:r>
    </w:p>
    <w:p>
      <w:pPr>
        <w:spacing w:after="50" w:before="50" w:line="262"/>
        <w:ind w:left="540" w:hanging="540"/>
      </w:pPr>
      <w:r>
        <w:rPr>
          <w:rFonts w:ascii="Garamond" w:cs="Garamond" w:eastAsia="Garamond" w:hAnsi="Garamond"/>
          <w:b/>
          <w:bCs/>
          <w:color w:val="7A5A0F"/>
          <w:sz w:val="22"/>
          <w:szCs w:val="22"/>
        </w:rPr>
        <w:t xml:space="preserve">31. </w:t>
      </w:r>
      <w:r>
        <w:rPr>
          <w:rFonts w:ascii="Garamond" w:cs="Garamond" w:eastAsia="Garamond" w:hAnsi="Garamond"/>
          <w:color w:val="1A1A18"/>
          <w:sz w:val="19"/>
          <w:szCs w:val="19"/>
        </w:rPr>
        <w:t xml:space="preserve">Niemiec, R. M., Russo-Netzer, P., &amp; Pargament, K. I. (2020). The decoding of the human spirit. Frontiers in Psychology, 11, 552737. https://doi.org/10.3389/fpsyg.2020.552737</w:t>
      </w:r>
    </w:p>
    <w:p>
      <w:pPr>
        <w:spacing w:after="50" w:before="50" w:line="262"/>
        <w:ind w:left="540" w:hanging="540"/>
      </w:pPr>
      <w:r>
        <w:rPr>
          <w:rFonts w:ascii="Garamond" w:cs="Garamond" w:eastAsia="Garamond" w:hAnsi="Garamond"/>
          <w:b/>
          <w:bCs/>
          <w:color w:val="7A5A0F"/>
          <w:sz w:val="22"/>
          <w:szCs w:val="22"/>
        </w:rPr>
        <w:t xml:space="preserve">32. </w:t>
      </w:r>
      <w:r>
        <w:rPr>
          <w:rFonts w:ascii="Garamond" w:cs="Garamond" w:eastAsia="Garamond" w:hAnsi="Garamond"/>
          <w:color w:val="1A1A18"/>
          <w:sz w:val="19"/>
          <w:szCs w:val="19"/>
        </w:rPr>
        <w:t xml:space="preserve">Park, N., Peterson, C., &amp; Seligman, M. E. P. (2006). Strengths of character and well-being. Journal of Social and Clinical Psychology, 23(5), 603–619. https://doi.org/10.1521/jscp.23.5.603.50748</w:t>
      </w:r>
    </w:p>
    <w:p>
      <w:pPr>
        <w:spacing w:after="50" w:before="50" w:line="262"/>
        <w:ind w:left="540" w:hanging="540"/>
      </w:pPr>
      <w:r>
        <w:rPr>
          <w:rFonts w:ascii="Garamond" w:cs="Garamond" w:eastAsia="Garamond" w:hAnsi="Garamond"/>
          <w:b/>
          <w:bCs/>
          <w:color w:val="7A5A0F"/>
          <w:sz w:val="22"/>
          <w:szCs w:val="22"/>
        </w:rPr>
        <w:t xml:space="preserve">33. </w:t>
      </w:r>
      <w:r>
        <w:rPr>
          <w:rFonts w:ascii="Garamond" w:cs="Garamond" w:eastAsia="Garamond" w:hAnsi="Garamond"/>
          <w:color w:val="1A1A18"/>
          <w:sz w:val="19"/>
          <w:szCs w:val="19"/>
        </w:rPr>
        <w:t xml:space="preserve">Peterson, C., &amp; Seligman, M. E. P. (2004). Character strengths and virtues: A handbook and classification. Oxford University Press / APA. ISBN 0-19-516701-5</w:t>
      </w:r>
    </w:p>
    <w:p>
      <w:pPr>
        <w:spacing w:after="50" w:before="50" w:line="262"/>
        <w:ind w:left="540" w:hanging="540"/>
      </w:pPr>
      <w:r>
        <w:rPr>
          <w:rFonts w:ascii="Garamond" w:cs="Garamond" w:eastAsia="Garamond" w:hAnsi="Garamond"/>
          <w:b/>
          <w:bCs/>
          <w:color w:val="7A5A0F"/>
          <w:sz w:val="22"/>
          <w:szCs w:val="22"/>
        </w:rPr>
        <w:t xml:space="preserve">34. </w:t>
      </w:r>
      <w:r>
        <w:rPr>
          <w:rFonts w:ascii="Garamond" w:cs="Garamond" w:eastAsia="Garamond" w:hAnsi="Garamond"/>
          <w:color w:val="1A1A18"/>
          <w:sz w:val="19"/>
          <w:szCs w:val="19"/>
        </w:rPr>
        <w:t xml:space="preserve">Plaisance, P. L., &amp; Piantoni, M. (2025). Humility: A foundational virtue for digital life. Journal of Media Ethics. https://doi.org/10.1080/23736992.2025.2536839</w:t>
      </w:r>
    </w:p>
    <w:p>
      <w:pPr>
        <w:spacing w:after="50" w:before="50" w:line="262"/>
        <w:ind w:left="540" w:hanging="540"/>
      </w:pPr>
      <w:r>
        <w:rPr>
          <w:rFonts w:ascii="Garamond" w:cs="Garamond" w:eastAsia="Garamond" w:hAnsi="Garamond"/>
          <w:b/>
          <w:bCs/>
          <w:color w:val="7A5A0F"/>
          <w:sz w:val="22"/>
          <w:szCs w:val="22"/>
        </w:rPr>
        <w:t xml:space="preserve">35. </w:t>
      </w:r>
      <w:r>
        <w:rPr>
          <w:rFonts w:ascii="Garamond" w:cs="Garamond" w:eastAsia="Garamond" w:hAnsi="Garamond"/>
          <w:color w:val="1A1A18"/>
          <w:sz w:val="19"/>
          <w:szCs w:val="19"/>
        </w:rPr>
        <w:t xml:space="preserve">Rønnestad, M. H. et al. (2020). Virtue ethics and integration in evidence-based practice in psychology. Frontiers in Psychology. https://doi.org/10.3389/fpsyg.2020.00258</w:t>
      </w:r>
    </w:p>
    <w:p>
      <w:pPr>
        <w:spacing w:after="50" w:before="50" w:line="262"/>
        <w:ind w:left="540" w:hanging="540"/>
      </w:pPr>
      <w:r>
        <w:rPr>
          <w:rFonts w:ascii="Garamond" w:cs="Garamond" w:eastAsia="Garamond" w:hAnsi="Garamond"/>
          <w:b/>
          <w:bCs/>
          <w:color w:val="7A5A0F"/>
          <w:sz w:val="22"/>
          <w:szCs w:val="22"/>
        </w:rPr>
        <w:t xml:space="preserve">36. </w:t>
      </w:r>
      <w:r>
        <w:rPr>
          <w:rFonts w:ascii="Garamond" w:cs="Garamond" w:eastAsia="Garamond" w:hAnsi="Garamond"/>
          <w:color w:val="1A1A18"/>
          <w:sz w:val="19"/>
          <w:szCs w:val="19"/>
        </w:rPr>
        <w:t xml:space="preserve">Sasse, J., Li, M., &amp; Baumert, A. (2022). How prosocial is moral courage? Emotion, 22(6). https://doi.org/10.1037/emo0001055</w:t>
      </w:r>
    </w:p>
    <w:p>
      <w:pPr>
        <w:spacing w:after="50" w:before="50" w:line="262"/>
        <w:ind w:left="540" w:hanging="540"/>
      </w:pPr>
      <w:r>
        <w:rPr>
          <w:rFonts w:ascii="Garamond" w:cs="Garamond" w:eastAsia="Garamond" w:hAnsi="Garamond"/>
          <w:b/>
          <w:bCs/>
          <w:color w:val="7A5A0F"/>
          <w:sz w:val="22"/>
          <w:szCs w:val="22"/>
        </w:rPr>
        <w:t xml:space="preserve">37. </w:t>
      </w:r>
      <w:r>
        <w:rPr>
          <w:rFonts w:ascii="Garamond" w:cs="Garamond" w:eastAsia="Garamond" w:hAnsi="Garamond"/>
          <w:color w:val="1A1A18"/>
          <w:sz w:val="19"/>
          <w:szCs w:val="19"/>
        </w:rPr>
        <w:t xml:space="preserve">Seligman, M. E. P. (2011). Flourish: A visionary new understanding of happiness and well-being. Atria Books. [PERMA framework reference]</w:t>
      </w:r>
    </w:p>
    <w:p>
      <w:pPr>
        <w:spacing w:after="50" w:before="50" w:line="262"/>
        <w:ind w:left="540" w:hanging="540"/>
      </w:pPr>
      <w:r>
        <w:rPr>
          <w:rFonts w:ascii="Garamond" w:cs="Garamond" w:eastAsia="Garamond" w:hAnsi="Garamond"/>
          <w:b/>
          <w:bCs/>
          <w:color w:val="7A5A0F"/>
          <w:sz w:val="22"/>
          <w:szCs w:val="22"/>
        </w:rPr>
        <w:t xml:space="preserve">38. </w:t>
      </w:r>
      <w:r>
        <w:rPr>
          <w:rFonts w:ascii="Garamond" w:cs="Garamond" w:eastAsia="Garamond" w:hAnsi="Garamond"/>
          <w:color w:val="1A1A18"/>
          <w:sz w:val="19"/>
          <w:szCs w:val="19"/>
        </w:rPr>
        <w:t xml:space="preserve">Sultana, R. (2025). The role of virtue ethics in personal well-being. Review of Contemporary Scientific and Academic Studies, 5(1). https://doi.org/10.55454/rcsas.5.01.2025.007</w:t>
      </w:r>
    </w:p>
    <w:p>
      <w:pPr>
        <w:spacing w:after="50" w:before="50" w:line="262"/>
        <w:ind w:left="540" w:hanging="540"/>
      </w:pPr>
      <w:r>
        <w:rPr>
          <w:rFonts w:ascii="Garamond" w:cs="Garamond" w:eastAsia="Garamond" w:hAnsi="Garamond"/>
          <w:b/>
          <w:bCs/>
          <w:color w:val="7A5A0F"/>
          <w:sz w:val="22"/>
          <w:szCs w:val="22"/>
        </w:rPr>
        <w:t xml:space="preserve">39. </w:t>
      </w:r>
      <w:r>
        <w:rPr>
          <w:rFonts w:ascii="Garamond" w:cs="Garamond" w:eastAsia="Garamond" w:hAnsi="Garamond"/>
          <w:color w:val="1A1A18"/>
          <w:sz w:val="19"/>
          <w:szCs w:val="19"/>
        </w:rPr>
        <w:t xml:space="preserve">Tewari, P. et al. (2024). Neurological, physiological, and social perspectives on the impact of gratitude on well-being. Clinical Neuroscience &amp; Neurological Research International Journal, 5(1). https://doi.org/10.CNNRIJ.2024.180055</w:t>
      </w:r>
    </w:p>
    <w:p>
      <w:pPr>
        <w:spacing w:after="50" w:before="50" w:line="262"/>
        <w:ind w:left="540" w:hanging="540"/>
      </w:pPr>
      <w:r>
        <w:rPr>
          <w:rFonts w:ascii="Garamond" w:cs="Garamond" w:eastAsia="Garamond" w:hAnsi="Garamond"/>
          <w:b/>
          <w:bCs/>
          <w:color w:val="7A5A0F"/>
          <w:sz w:val="22"/>
          <w:szCs w:val="22"/>
        </w:rPr>
        <w:t xml:space="preserve">40. </w:t>
      </w:r>
      <w:r>
        <w:rPr>
          <w:rFonts w:ascii="Garamond" w:cs="Garamond" w:eastAsia="Garamond" w:hAnsi="Garamond"/>
          <w:color w:val="1A1A18"/>
          <w:sz w:val="19"/>
          <w:szCs w:val="19"/>
        </w:rPr>
        <w:t xml:space="preserve">Van Zyl, L. T., Gaffaney, J. et al. (2023). The critiques and criticisms of positive psychology: A systematic review. Journal of Positive Psychology. https://doi.org/10.1080/17439760.2023.2178956</w:t>
      </w:r>
    </w:p>
    <w:p>
      <w:pPr>
        <w:spacing w:after="50" w:before="50" w:line="262"/>
        <w:ind w:left="540" w:hanging="540"/>
      </w:pPr>
      <w:r>
        <w:rPr>
          <w:rFonts w:ascii="Garamond" w:cs="Garamond" w:eastAsia="Garamond" w:hAnsi="Garamond"/>
          <w:b/>
          <w:bCs/>
          <w:color w:val="7A5A0F"/>
          <w:sz w:val="22"/>
          <w:szCs w:val="22"/>
        </w:rPr>
        <w:t xml:space="preserve">41. </w:t>
      </w:r>
      <w:r>
        <w:rPr>
          <w:rFonts w:ascii="Garamond" w:cs="Garamond" w:eastAsia="Garamond" w:hAnsi="Garamond"/>
          <w:color w:val="1A1A18"/>
          <w:sz w:val="19"/>
          <w:szCs w:val="19"/>
        </w:rPr>
        <w:t xml:space="preserve">Wagner, L., &amp; Gander, F. (2025). Character strength traits, states, and emotional well-being: A daily diary study. Journal of Personality, 93, 341–360. https://doi.org/10.1111/jopy.12933</w:t>
      </w:r>
    </w:p>
    <w:p>
      <w:pPr>
        <w:spacing w:after="50" w:before="50" w:line="262"/>
        <w:ind w:left="540" w:hanging="540"/>
      </w:pPr>
      <w:r>
        <w:rPr>
          <w:rFonts w:ascii="Garamond" w:cs="Garamond" w:eastAsia="Garamond" w:hAnsi="Garamond"/>
          <w:b/>
          <w:bCs/>
          <w:color w:val="7A5A0F"/>
          <w:sz w:val="22"/>
          <w:szCs w:val="22"/>
        </w:rPr>
        <w:t xml:space="preserve">42. </w:t>
      </w:r>
      <w:r>
        <w:rPr>
          <w:rFonts w:ascii="Garamond" w:cs="Garamond" w:eastAsia="Garamond" w:hAnsi="Garamond"/>
          <w:color w:val="1A1A18"/>
          <w:sz w:val="19"/>
          <w:szCs w:val="19"/>
        </w:rPr>
        <w:t xml:space="preserve">Wang, X., Zheng, C. et al. (2025). 'Clothe yourselves with humility': Humility can promote fairness. Personality and Individual Differences, 233, 112938. https://doi.org/10.1016/j.paid.2024.112938</w:t>
      </w:r>
    </w:p>
    <w:p>
      <w:pPr>
        <w:spacing w:after="50" w:before="50" w:line="262"/>
        <w:ind w:left="540" w:hanging="540"/>
      </w:pPr>
      <w:r>
        <w:rPr>
          <w:rFonts w:ascii="Garamond" w:cs="Garamond" w:eastAsia="Garamond" w:hAnsi="Garamond"/>
          <w:b/>
          <w:bCs/>
          <w:color w:val="7A5A0F"/>
          <w:sz w:val="22"/>
          <w:szCs w:val="22"/>
        </w:rPr>
        <w:t xml:space="preserve">43. </w:t>
      </w:r>
      <w:r>
        <w:rPr>
          <w:rFonts w:ascii="Garamond" w:cs="Garamond" w:eastAsia="Garamond" w:hAnsi="Garamond"/>
          <w:color w:val="1A1A18"/>
          <w:sz w:val="19"/>
          <w:szCs w:val="19"/>
        </w:rPr>
        <w:t xml:space="preserve">Yang, Y. et al. (2024). Dare to be yourself: Courage promotes self-authenticity via sense of power. Journal of Positive Psychology. https://doi.org/10.1080/17439760.2024</w:t>
      </w:r>
    </w:p>
    <w:p>
      <w:pPr>
        <w:spacing w:after="0" w:before="80"/>
      </w:pPr>
      <w:r>
        <w:rPr>
          <w:rFonts w:ascii="Garamond" w:cs="Garamond" w:eastAsia="Garamond" w:hAnsi="Garamond"/>
          <w:color w:val="1A1A18"/>
          <w:sz w:val="22"/>
          <w:szCs w:val="22"/>
        </w:rPr>
        <w:t xml:space="preserve"/>
      </w:r>
    </w:p>
    <w:p>
      <w:pPr>
        <w:pBdr>
          <w:top w:val="single" w:color="D0C8BC" w:sz="1" w:space="4"/>
        </w:pBdr>
        <w:spacing w:after="40" w:before="0"/>
        <w:ind w:left="540" w:hanging="540"/>
      </w:pPr>
      <w:r>
        <w:rPr>
          <w:rFonts w:ascii="Garamond" w:cs="Garamond" w:eastAsia="Garamond" w:hAnsi="Garamond"/>
          <w:b/>
          <w:bCs/>
          <w:color w:val="1B3A2D"/>
          <w:sz w:val="19"/>
          <w:szCs w:val="19"/>
        </w:rPr>
        <w:t xml:space="preserve">Fonte primária: </w:t>
      </w:r>
      <w:r>
        <w:rPr>
          <w:rFonts w:ascii="Garamond" w:cs="Garamond" w:eastAsia="Garamond" w:hAnsi="Garamond"/>
          <w:color w:val="1A1A18"/>
          <w:sz w:val="19"/>
          <w:szCs w:val="19"/>
        </w:rPr>
        <w:t xml:space="preserve">Mattos Neto, J. C. de. (2023). </w:t>
      </w:r>
      <w:r>
        <w:rPr>
          <w:rFonts w:ascii="Garamond" w:cs="Garamond" w:eastAsia="Garamond" w:hAnsi="Garamond"/>
          <w:i/>
          <w:iCs/>
          <w:color w:val="4E4840"/>
          <w:sz w:val="19"/>
          <w:szCs w:val="19"/>
        </w:rPr>
        <w:t xml:space="preserve">Filosofia das Virtudes</w:t>
      </w:r>
      <w:r>
        <w:rPr>
          <w:rFonts w:ascii="Garamond" w:cs="Garamond" w:eastAsia="Garamond" w:hAnsi="Garamond"/>
          <w:color w:val="1A1A18"/>
          <w:sz w:val="19"/>
          <w:szCs w:val="19"/>
        </w:rPr>
        <w:t xml:space="preserve">. Rio de Janeiro. Ed. Capa Dura com Juramento, rev. 321. [Capítulos I–XI, Introdução, Declaração das Virtudes Universais Humanas, Juramento das Virtudes, Sinopse. 40.325 palavras verificadas contra tradução italiana (42.107 palavras); ratio 1.04.]</w:t>
      </w:r>
    </w:p>
    <w:p>
      <w:pPr>
        <w:spacing w:after="0" w:before="10"/>
        <w:ind w:left="540" w:hanging="540"/>
      </w:pPr>
      <w:r>
        <w:rPr>
          <w:rFonts w:ascii="Garamond" w:cs="Garamond" w:eastAsia="Garamond" w:hAnsi="Garamond"/>
          <w:b/>
          <w:bCs/>
          <w:color w:val="2E5E42"/>
          <w:sz w:val="19"/>
          <w:szCs w:val="19"/>
        </w:rPr>
        <w:t xml:space="preserve">Documentos analíticos do projecto: </w:t>
      </w:r>
      <w:r>
        <w:rPr>
          <w:rFonts w:ascii="Garamond" w:cs="Garamond" w:eastAsia="Garamond" w:hAnsi="Garamond"/>
          <w:color w:val="1A1A18"/>
          <w:sz w:val="19"/>
          <w:szCs w:val="19"/>
        </w:rPr>
        <w:t xml:space="preserve">Appendice 1 (Originalidades) · Appendice 2 (Liberdade nas Religiões) · The Virtuous Life Booklet EN · Scientific Literature on Human Virtues — Analysis · FdV Conclusions, Convergences and Originalities [todos produzidos no âmbito deste projecto, Abril 2026]</w:t>
      </w:r>
    </w:p>
    <w:p>
      <w:pPr>
        <w:spacing w:after="0" w:before="200"/>
      </w:pPr>
      <w:r>
        <w:rPr>
          <w:rFonts w:ascii="Garamond" w:cs="Garamond" w:eastAsia="Garamond" w:hAnsi="Garamond"/>
          <w:color w:val="1A1A18"/>
          <w:sz w:val="22"/>
          <w:szCs w:val="22"/>
        </w:rPr>
        <w:t xml:space="preserve"/>
      </w:r>
    </w:p>
    <w:p>
      <w:pPr>
        <w:pBdr>
          <w:bottom w:val="single" w:color="7A5A0F" w:sz="3" w:space="0"/>
        </w:pBdr>
        <w:spacing w:after="80" w:before="80"/>
      </w:pPr>
    </w:p>
    <w:p>
      <w:pPr>
        <w:spacing w:after="0" w:before="10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7A5A0F"/>
          <w:sz w:val="34"/>
          <w:szCs w:val="34"/>
        </w:rPr>
        <w:t xml:space="preserve">VVV</w:t>
      </w:r>
    </w:p>
    <w:p>
      <w:pPr>
        <w:spacing w:after="40" w:before="0"/>
        <w:jc w:val="center"/>
      </w:pPr>
      <w:r>
        <w:rPr>
          <w:rFonts w:ascii="Garamond" w:cs="Garamond" w:eastAsia="Garamond" w:hAnsi="Garamond"/>
          <w:i/>
          <w:iCs/>
          <w:color w:val="4E4840"/>
          <w:sz w:val="19"/>
          <w:szCs w:val="19"/>
        </w:rPr>
        <w:t xml:space="preserve">Das Virtudes para a Liberdade. Da Liberdade para as Virtudes.</w:t>
      </w:r>
    </w:p>
    <w:p>
      <w:pPr>
        <w:spacing w:after="0" w:before="0"/>
        <w:jc w:val="center"/>
      </w:pPr>
      <w:r>
        <w:rPr>
          <w:rFonts w:ascii="Garamond" w:cs="Garamond" w:eastAsia="Garamond" w:hAnsi="Garamond"/>
          <w:i/>
          <w:iCs/>
          <w:color w:val="8A8278"/>
          <w:sz w:val="17"/>
          <w:szCs w:val="17"/>
        </w:rPr>
        <w:t xml:space="preserve">— José Caetano de Mattos, Filosofia das Virtudes</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0C8BC" w:sz="2" w:space="4"/>
      </w:pBdr>
      <w:spacing w:after="120" w:before="0"/>
      <w:jc w:val="right"/>
    </w:pPr>
    <w:r>
      <w:rPr>
        <w:rFonts w:ascii="Garamond" w:cs="Garamond" w:eastAsia="Garamond" w:hAnsi="Garamond"/>
        <w:color w:val="8A8278"/>
        <w:sz w:val="16"/>
        <w:szCs w:val="16"/>
      </w:rPr>
      <w:t xml:space="preserve">Virtudes, Liberdade e o Humano  ·  Conexões e Proposições Originais  ·  </w:t>
    </w:r>
    <w:r>
      <w:rPr>
        <w:rFonts w:ascii="Garamond" w:cs="Garamond" w:eastAsia="Garamond" w:hAnsi="Garamond"/>
        <w:color w:val="8A827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80" w:before="0"/>
      <w:outlineLvl w:val="0"/>
    </w:pPr>
    <w:rPr>
      <w:rFonts w:ascii="Garamond" w:cs="Garamond" w:eastAsia="Garamond" w:hAnsi="Garamond"/>
      <w:b/>
      <w:bCs/>
      <w:color w:val="1B3A2D"/>
      <w:sz w:val="27"/>
      <w:szCs w:val="27"/>
    </w:rPr>
  </w:style>
  <w:style w:type="paragraph" w:styleId="Heading2">
    <w:name w:val="Heading 2"/>
    <w:basedOn w:val="Normal"/>
    <w:next w:val="Normal"/>
    <w:pPr>
      <w:spacing w:after="60" w:before="230"/>
      <w:outlineLvl w:val="1"/>
    </w:pPr>
    <w:rPr>
      <w:rFonts w:ascii="Garamond" w:cs="Garamond" w:eastAsia="Garamond" w:hAnsi="Garamond"/>
      <w:b/>
      <w:bCs/>
      <w:color w:val="2E5E42"/>
      <w:sz w:val="23"/>
      <w:szCs w:val="23"/>
    </w:rPr>
  </w:style>
  <w:style w:type="paragraph" w:styleId="Heading3">
    <w:name w:val="Heading 3"/>
    <w:basedOn w:val="Normal"/>
    <w:next w:val="Normal"/>
    <w:pPr>
      <w:spacing w:after="40" w:before="190"/>
      <w:outlineLvl w:val="2"/>
    </w:pPr>
    <w:rPr>
      <w:rFonts w:ascii="Garamond" w:cs="Garamond" w:eastAsia="Garamond" w:hAnsi="Garamond"/>
      <w:b/>
      <w:bCs/>
      <w:color w:val="4E4840"/>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2026-04-11T17:48:54.445Z</dcterms:created>
  <dcterms:modified xsi:type="dcterms:W3CDTF">2026-04-11T17:48:54.447Z</dcterms:modified>
</cp:coreProperties>
</file>

<file path=docProps/custom.xml><?xml version="1.0" encoding="utf-8"?>
<Properties xmlns="http://schemas.openxmlformats.org/officeDocument/2006/custom-properties" xmlns:vt="http://schemas.openxmlformats.org/officeDocument/2006/docPropsVTypes"/>
</file>