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80"/>
        <w:jc w:val="center"/>
      </w:pPr>
      <w:r>
        <w:rPr>
          <w:rFonts w:ascii="Arial" w:cs="Arial" w:eastAsia="Arial" w:hAnsi="Arial"/>
          <w:caps/>
          <w:color w:val="888888"/>
          <w:spacing w:val="80"/>
          <w:sz w:val="20"/>
          <w:szCs w:val="20"/>
        </w:rPr>
        <w:t xml:space="preserve">PHILOSOPHICAL ANALYSIS</w:t>
      </w:r>
    </w:p>
    <w:p>
      <w:pPr>
        <w:spacing w:before="0" w:after="160"/>
        <w:jc w:val="center"/>
      </w:pPr>
      <w:r>
        <w:rPr>
          <w:rFonts w:ascii="Arial" w:cs="Arial" w:eastAsia="Arial" w:hAnsi="Arial"/>
          <w:b/>
          <w:bCs/>
          <w:color w:val="1F3864"/>
          <w:sz w:val="48"/>
          <w:szCs w:val="48"/>
        </w:rPr>
        <w:t xml:space="preserve">Filosofia das Virtudes</w:t>
      </w:r>
    </w:p>
    <w:p>
      <w:pPr>
        <w:spacing w:before="0" w:after="80"/>
        <w:jc w:val="center"/>
      </w:pPr>
      <w:r>
        <w:rPr>
          <w:rFonts w:ascii="Arial" w:cs="Arial" w:eastAsia="Arial" w:hAnsi="Arial"/>
          <w:i/>
          <w:iCs/>
          <w:color w:val="2E5090"/>
          <w:sz w:val="28"/>
          <w:szCs w:val="28"/>
        </w:rPr>
        <w:t xml:space="preserve">Manifesto das Virtudes</w:t>
      </w:r>
    </w:p>
    <w:p>
      <w:pPr>
        <w:spacing w:before="0" w:after="600"/>
        <w:jc w:val="center"/>
      </w:pPr>
      <w:r>
        <w:rPr>
          <w:rFonts w:ascii="Arial" w:cs="Arial" w:eastAsia="Arial" w:hAnsi="Arial"/>
          <w:color w:val="555555"/>
          <w:sz w:val="22"/>
          <w:szCs w:val="22"/>
        </w:rPr>
        <w:t xml:space="preserve">José Caetano de Mattos  —  Rio de Janeiro, 2023</w:t>
      </w:r>
    </w:p>
    <w:p>
      <w:pPr>
        <w:pBdr>
          <w:bottom w:val="single" w:color="CCCCCC" w:sz="4" w:space="1"/>
        </w:pBdr>
        <w:spacing w:before="120" w:after="120"/>
      </w:pPr>
    </w:p>
    <w:p>
      <w:pPr>
        <w:spacing w:before="80" w:after="80"/>
      </w:pPr>
      <w:r>
        <w:t xml:space="preserve"/>
      </w:r>
    </w:p>
    <w:p>
      <w:pPr>
        <w:pStyle w:val="Heading1"/>
        <w:spacing w:before="360" w:after="180"/>
      </w:pPr>
      <w:r>
        <w:rPr>
          <w:rFonts w:ascii="Arial" w:cs="Arial" w:eastAsia="Arial" w:hAnsi="Arial"/>
          <w:b/>
          <w:bCs/>
          <w:color w:val="1F3864"/>
          <w:sz w:val="32"/>
          <w:szCs w:val="32"/>
        </w:rPr>
        <w:t xml:space="preserve">Overview</w:t>
      </w:r>
    </w:p>
    <w:p>
      <w:pPr>
        <w:spacing w:before="80" w:after="120"/>
      </w:pPr>
      <w:r>
        <w:rPr>
          <w:rFonts w:ascii="Arial" w:cs="Arial" w:eastAsia="Arial" w:hAnsi="Arial"/>
          <w:sz w:val="22"/>
          <w:szCs w:val="22"/>
        </w:rPr>
        <w:t xml:space="preserve">Filosofia das Virtudes (Philosophy of Virtues) is a Brazilian work of moral philosophy, published in 2023 by José Caetano de Mattos. The book grew from a personal revelation the author experienced during a harrowing road journey in the COVID-19 pandemic, which he frames as a prophetic calling. The work combines systematic ethical theory, spiritual theology, political philosophy, and autobiographical narrative to present a comprehensive "Philosophy of Life" centered on 101 Universal Human Virtues.</w:t>
      </w:r>
    </w:p>
    <w:p>
      <w:pPr>
        <w:spacing w:before="80" w:after="120"/>
      </w:pPr>
      <w:r>
        <w:rPr>
          <w:rFonts w:ascii="Arial" w:cs="Arial" w:eastAsia="Arial" w:hAnsi="Arial"/>
          <w:sz w:val="22"/>
          <w:szCs w:val="22"/>
        </w:rPr>
        <w:t xml:space="preserve">While the book draws on classical virtue ethics (Aristotle, Aquinas, Kant), it departs significantly from those traditions by introducing original conceptual frameworks that are the focus of this analysis.</w:t>
      </w:r>
    </w:p>
    <w:p>
      <w:pPr>
        <w:spacing w:before="80" w:after="80"/>
      </w:pPr>
      <w:r>
        <w:t xml:space="preserve"/>
      </w:r>
    </w:p>
    <w:p>
      <w:pPr>
        <w:pStyle w:val="Heading1"/>
        <w:spacing w:before="360" w:after="180"/>
      </w:pPr>
      <w:r>
        <w:rPr>
          <w:rFonts w:ascii="Arial" w:cs="Arial" w:eastAsia="Arial" w:hAnsi="Arial"/>
          <w:b/>
          <w:bCs/>
          <w:color w:val="1F3864"/>
          <w:sz w:val="32"/>
          <w:szCs w:val="32"/>
        </w:rPr>
        <w:t xml:space="preserve">Original Concepts — Summary Table</w:t>
      </w:r>
    </w:p>
    <w:p>
      <w:pPr>
        <w:spacing w:before="80" w:after="120"/>
      </w:pPr>
      <w:r>
        <w:rPr>
          <w:rFonts w:ascii="Arial" w:cs="Arial" w:eastAsia="Arial" w:hAnsi="Arial"/>
          <w:sz w:val="22"/>
          <w:szCs w:val="22"/>
        </w:rPr>
        <w:t xml:space="preserve">The table below maps the key original conceptual contributions identified in the book:</w:t>
      </w:r>
    </w:p>
    <w:p>
      <w:pPr>
        <w:spacing w:before="80" w:after="80"/>
      </w:pPr>
      <w:r>
        <w:t xml:space="preserve"/>
      </w:r>
    </w:p>
    <w:p>
      <w:pPr>
        <w:spacing w:before="80" w:after="60"/>
      </w:pPr>
      <w:r>
        <w:rPr>
          <w:rFonts w:ascii="Arial" w:cs="Arial" w:eastAsia="Arial" w:hAnsi="Arial"/>
          <w:b/>
          <w:bCs/>
          <w:sz w:val="22"/>
          <w:szCs w:val="22"/>
        </w:rPr>
        <w:t xml:space="preserve">Concept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560"/>
        <w:gridCol w:w="2300"/>
      </w:tblGrid>
      <w:tr>
        <w:tc>
          <w:tcPr>
            <w:tcW w:type="dxa" w:w="2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1"/>
                <w:szCs w:val="21"/>
              </w:rPr>
              <w:t xml:space="preserve">Concept</w:t>
            </w:r>
          </w:p>
        </w:tc>
        <w:tc>
          <w:tcPr>
            <w:tcW w:type="dxa" w:w="4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1"/>
                <w:szCs w:val="21"/>
              </w:rPr>
              <w:t xml:space="preserve">Description</w:t>
            </w:r>
          </w:p>
        </w:tc>
        <w:tc>
          <w:tcPr>
            <w:tcW w:type="dxa" w:w="23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1"/>
                <w:szCs w:val="21"/>
              </w:rPr>
              <w:t xml:space="preserve">Originality</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Virtue Hierarchy (3+2 Tier Structure)</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A ranked ontology of 101 virtues in 5 categories: Essence, Foundation, Edifice, Protection, Divine</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No classical precedent for this exact tiered architecture</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Freedom as the Elementary Virtue</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Liberty is not one virtue among others; it is the structural precondition and 'building block' of all other virtues</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Inverts classical priority of Justice/Prudence</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Weapon-Bearing as a Virtue (Protection Virtue)</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The right to bear arms is elevated to a moral virtue — the guardian of all others</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Entirely novel in virtue ethics literature</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The Unveiling (Virtude do Divino)</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Critical thinking / epistemological openness as the 'divine' virtue; the frontier of the unknown</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Merges epistemology with theology uniquely</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BioSpiritual Nature of Virtues</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Virtues are the bridge between temporal biological life and eternal spiritual life; Nature is their temple</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Original synthesis term and concept</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Virtue as Divine Participation</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Every virtuous act is literally a divine act; the virtuous person is 'God's hand on Earth'</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More radical than Aquinas's infused virtues</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Virtuose (Virtuous Practitioner)</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A specific term for the person who practices and defends virtues, distinct from 'virtuous person'</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New category of moral agent</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Positive Existential Figures</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Unnamed bodily states that orient toward virtue (desire, inspiration) — posited as an unmapped field</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Identifies a gap in psychology/phenomenology</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Multivirtuoso World Order</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Geopolitical theory: the world is not uni/multipolar but 'Multivirtuoso' — structured by floating virtue-levels</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Original geopolitical concept</w:t>
            </w:r>
          </w:p>
        </w:tc>
      </w:tr>
      <w:tr>
        <w:tc>
          <w:tcPr>
            <w:tcW w:type="dxa" w:w="2500"/>
            <w:tcBorders>
              <w:top w:val="single" w:color="CCCCCC" w:sz="1"/>
              <w:left w:val="single" w:color="CCCCCC" w:sz="1"/>
              <w:bottom w:val="single" w:color="CCCCCC" w:sz="1"/>
              <w:right w:val="single" w:color="CCCCCC" w:sz="1"/>
            </w:tcBorders>
            <w:shd w:fill="F0F4F9" w:val="clear"/>
            <w:tcMar>
              <w:top w:type="dxa" w:w="80"/>
              <w:left w:type="dxa" w:w="120"/>
              <w:bottom w:type="dxa" w:w="80"/>
              <w:right w:type="dxa" w:w="120"/>
            </w:tcMar>
          </w:tcPr>
          <w:p>
            <w:r>
              <w:rPr>
                <w:rFonts w:ascii="Arial" w:cs="Arial" w:eastAsia="Arial" w:hAnsi="Arial"/>
                <w:b/>
                <w:bCs/>
                <w:color w:val="1F3864"/>
                <w:sz w:val="20"/>
                <w:szCs w:val="20"/>
              </w:rPr>
              <w:t xml:space="preserve">Virtudes as Comportamentos Eternos</w:t>
            </w:r>
          </w:p>
        </w:tc>
        <w:tc>
          <w:tcPr>
            <w:tcW w:type="dxa" w:w="4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Virtues are not principles or rules but 'Eternal Behaviors' — enacted, living, timeless patterns</w:t>
            </w:r>
          </w:p>
        </w:tc>
        <w:tc>
          <w:tcPr>
            <w:tcW w:type="dxa" w:w="2300"/>
            <w:tcBorders>
              <w:top w:val="single" w:color="CCCCCC" w:sz="1"/>
              <w:left w:val="single" w:color="CCCCCC" w:sz="1"/>
              <w:bottom w:val="single" w:color="CCCCCC" w:sz="1"/>
              <w:right w:val="single" w:color="CCCCCC" w:sz="1"/>
            </w:tcBorders>
            <w:shd w:fill="EBF5EB" w:val="clear"/>
            <w:tcMar>
              <w:top w:type="dxa" w:w="80"/>
              <w:left w:type="dxa" w:w="120"/>
              <w:bottom w:type="dxa" w:w="80"/>
              <w:right w:type="dxa" w:w="120"/>
            </w:tcMar>
          </w:tcPr>
          <w:p>
            <w:r>
              <w:rPr>
                <w:rFonts w:ascii="Arial" w:cs="Arial" w:eastAsia="Arial" w:hAnsi="Arial"/>
                <w:i/>
                <w:iCs/>
                <w:color w:val="2E7D32"/>
                <w:sz w:val="19"/>
                <w:szCs w:val="19"/>
              </w:rPr>
              <w:t xml:space="preserve">Behavioristic-ontological framing is novel</w:t>
            </w:r>
          </w:p>
        </w:tc>
      </w:tr>
    </w:tbl>
    <w:p>
      <w:pPr>
        <w:spacing w:before="80" w:after="80"/>
      </w:pPr>
      <w:r>
        <w:t xml:space="preserve"/>
      </w:r>
    </w:p>
    <w:p>
      <w:pPr>
        <w:spacing w:before="80" w:after="80"/>
      </w:pPr>
      <w:r>
        <w:t xml:space="preserve"/>
      </w:r>
    </w:p>
    <w:p>
      <w:pPr>
        <w:pStyle w:val="Heading1"/>
        <w:spacing w:before="360" w:after="180"/>
      </w:pPr>
      <w:r>
        <w:rPr>
          <w:rFonts w:ascii="Arial" w:cs="Arial" w:eastAsia="Arial" w:hAnsi="Arial"/>
          <w:b/>
          <w:bCs/>
          <w:color w:val="1F3864"/>
          <w:sz w:val="32"/>
          <w:szCs w:val="32"/>
        </w:rPr>
        <w:t xml:space="preserve">Detailed Analysis of Original Concepts</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1. The Virtue Hierarchy — A Three-Plus-Two Tiered Ontology</w:t>
      </w:r>
    </w:p>
    <w:p>
      <w:pPr>
        <w:spacing w:before="80" w:after="120"/>
      </w:pPr>
      <w:r>
        <w:rPr>
          <w:rFonts w:ascii="Arial" w:cs="Arial" w:eastAsia="Arial" w:hAnsi="Arial"/>
          <w:sz w:val="22"/>
          <w:szCs w:val="22"/>
        </w:rPr>
        <w:t xml:space="preserve">The book's most architecturally distinctive contribution is its fivefold taxonomy of 101 Universal Human Virtues:</w:t>
      </w:r>
    </w:p>
    <w:p>
      <w:pPr>
        <w:pStyle w:val="ListParagraph"/>
        <w:numPr>
          <w:ilvl w:val="0"/>
          <w:numId w:val="2"/>
        </w:numPr>
        <w:spacing w:before="60" w:after="60"/>
      </w:pPr>
      <w:r>
        <w:rPr>
          <w:rFonts w:ascii="Arial" w:cs="Arial" w:eastAsia="Arial" w:hAnsi="Arial"/>
          <w:sz w:val="22"/>
          <w:szCs w:val="22"/>
        </w:rPr>
        <w:t xml:space="preserve">Virtue of Essence (1): Freedom / Liberty — the elementary building block</w:t>
      </w:r>
    </w:p>
    <w:p>
      <w:pPr>
        <w:pStyle w:val="ListParagraph"/>
        <w:numPr>
          <w:ilvl w:val="0"/>
          <w:numId w:val="2"/>
        </w:numPr>
        <w:spacing w:before="60" w:after="60"/>
      </w:pPr>
      <w:r>
        <w:rPr>
          <w:rFonts w:ascii="Arial" w:cs="Arial" w:eastAsia="Arial" w:hAnsi="Arial"/>
          <w:sz w:val="22"/>
          <w:szCs w:val="22"/>
        </w:rPr>
        <w:t xml:space="preserve">Virtues of Foundation (12): Love, Science, Courage, Family, Honesty, Justice, Free Will, Environment, Property, Work, Life, Study</w:t>
      </w:r>
    </w:p>
    <w:p>
      <w:pPr>
        <w:pStyle w:val="ListParagraph"/>
        <w:numPr>
          <w:ilvl w:val="0"/>
          <w:numId w:val="2"/>
        </w:numPr>
        <w:spacing w:before="60" w:after="60"/>
      </w:pPr>
      <w:r>
        <w:rPr>
          <w:rFonts w:ascii="Arial" w:cs="Arial" w:eastAsia="Arial" w:hAnsi="Arial"/>
          <w:sz w:val="22"/>
          <w:szCs w:val="22"/>
        </w:rPr>
        <w:t xml:space="preserve">Virtues of Edifice (86): The full range of human excellence from Adaptability to Truth</w:t>
      </w:r>
    </w:p>
    <w:p>
      <w:pPr>
        <w:pStyle w:val="ListParagraph"/>
        <w:numPr>
          <w:ilvl w:val="0"/>
          <w:numId w:val="2"/>
        </w:numPr>
        <w:spacing w:before="60" w:after="60"/>
      </w:pPr>
      <w:r>
        <w:rPr>
          <w:rFonts w:ascii="Arial" w:cs="Arial" w:eastAsia="Arial" w:hAnsi="Arial"/>
          <w:sz w:val="22"/>
          <w:szCs w:val="22"/>
        </w:rPr>
        <w:t xml:space="preserve">Virtue of Protection (1): The right to bear arms</w:t>
      </w:r>
    </w:p>
    <w:p>
      <w:pPr>
        <w:pStyle w:val="ListParagraph"/>
        <w:numPr>
          <w:ilvl w:val="0"/>
          <w:numId w:val="2"/>
        </w:numPr>
        <w:spacing w:before="60" w:after="60"/>
      </w:pPr>
      <w:r>
        <w:rPr>
          <w:rFonts w:ascii="Arial" w:cs="Arial" w:eastAsia="Arial" w:hAnsi="Arial"/>
          <w:sz w:val="22"/>
          <w:szCs w:val="22"/>
        </w:rPr>
        <w:t xml:space="preserve">Virtue of the Divine (1): The Unveiling / Critical Thinking</w:t>
      </w:r>
    </w:p>
    <w:p>
      <w:pPr>
        <w:spacing w:before="80" w:after="80"/>
      </w:pPr>
      <w:r>
        <w:t xml:space="preserve"/>
      </w:r>
    </w:p>
    <w:p>
      <w:pPr>
        <w:spacing w:before="80" w:after="120"/>
      </w:pPr>
      <w:r>
        <w:rPr>
          <w:rFonts w:ascii="Arial" w:cs="Arial" w:eastAsia="Arial" w:hAnsi="Arial"/>
          <w:sz w:val="22"/>
          <w:szCs w:val="22"/>
        </w:rPr>
        <w:t xml:space="preserve">Classical virtue ethics (Aristotle, Aquinas) provides lists and some hierarchies (e.g., cardinal/theological virtues), but none proposes a structural ontology of this type — distinguishing virtues by their architectural function in human life rather than by their domain or theological source. The metaphor is explicitly architectural: Foundation supports Edifice, Essence is the element all others are made of, Protection guards the whole, and the Divine caps the summit.</w:t>
      </w:r>
    </w:p>
    <w:p>
      <w:pPr>
        <w:spacing w:before="80" w:after="120"/>
        <w:ind w:left="720"/>
      </w:pPr>
      <w:r>
        <w:rPr>
          <w:rFonts w:ascii="Arial" w:cs="Arial" w:eastAsia="Arial" w:hAnsi="Arial"/>
          <w:i/>
          <w:iCs/>
          <w:color w:val="444444"/>
          <w:sz w:val="22"/>
          <w:szCs w:val="22"/>
        </w:rPr>
        <w:t xml:space="preserve">"Primeiro garimpa-se o diamante bruto, posteriormente será lapidado. Não se inicia a construção de uma casa pelo telhado." ("First the raw diamond is mined, then it is cut. One does not begin building a house from the roof.")</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2. Freedom as the Elementary Virtue — A Structural Inversion</w:t>
      </w:r>
    </w:p>
    <w:p>
      <w:pPr>
        <w:spacing w:before="80" w:after="120"/>
      </w:pPr>
      <w:r>
        <w:rPr>
          <w:rFonts w:ascii="Arial" w:cs="Arial" w:eastAsia="Arial" w:hAnsi="Arial"/>
          <w:sz w:val="22"/>
          <w:szCs w:val="22"/>
        </w:rPr>
        <w:t xml:space="preserve">In classical virtue ethics, Prudence or Justice typically hold primacy. In Christian ethics, the Theological Virtues (Faith, Hope, Charity) supersede all others. The author makes a radical structural claim: Freedom is not one virtue among others, nor even the highest virtue — it is the elementary building block from which all virtues are composed.</w:t>
      </w:r>
    </w:p>
    <w:p>
      <w:pPr>
        <w:spacing w:before="80" w:after="120"/>
      </w:pPr>
      <w:r>
        <w:rPr>
          <w:rFonts w:ascii="Arial" w:cs="Arial" w:eastAsia="Arial" w:hAnsi="Arial"/>
          <w:sz w:val="22"/>
          <w:szCs w:val="22"/>
        </w:rPr>
        <w:t xml:space="preserve">The key philosophical claim is that virtues without Freedom are not truly virtues but subjugated behaviors. Under tyranny, Courage becomes servility, Justice becomes compliance, and Charity becomes obedience. Freedom is the medium in which virtue can exist at all.</w:t>
      </w:r>
    </w:p>
    <w:p>
      <w:pPr>
        <w:spacing w:before="80" w:after="120"/>
        <w:ind w:left="720"/>
      </w:pPr>
      <w:r>
        <w:rPr>
          <w:rFonts w:ascii="Arial" w:cs="Arial" w:eastAsia="Arial" w:hAnsi="Arial"/>
          <w:i/>
          <w:iCs/>
          <w:color w:val="444444"/>
          <w:sz w:val="22"/>
          <w:szCs w:val="22"/>
        </w:rPr>
        <w:t xml:space="preserve">"A Liberdade é o bloco de construção fundamental das Virtudes Universais Humanas... Sem ela, todas as outras Virtudes são subjugadas, perdem o sentido, sucumbem, afrouxam, esvaziam, fraquejam, caem, reduzem-se, ajoelham-se."</w:t>
      </w:r>
    </w:p>
    <w:p>
      <w:pPr>
        <w:spacing w:before="80" w:after="120"/>
      </w:pPr>
      <w:r>
        <w:rPr>
          <w:rFonts w:ascii="Arial" w:cs="Arial" w:eastAsia="Arial" w:hAnsi="Arial"/>
          <w:sz w:val="22"/>
          <w:szCs w:val="22"/>
        </w:rPr>
        <w:t xml:space="preserve">This moves beyond liberal political philosophy (Locke, Mill) which values freedom instrumentally, and beyond republican accounts (Pettit) where freedom is non-domination. Here, Freedom has an ontological primacy within virtue theory itself — it is the condition of possibility of virtue as such. This is a genuinely original philosophical position.</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3. The Right to Bear Arms as a Moral Virtue</w:t>
      </w:r>
    </w:p>
    <w:p>
      <w:pPr>
        <w:spacing w:before="80" w:after="120"/>
      </w:pPr>
      <w:r>
        <w:rPr>
          <w:rFonts w:ascii="Arial" w:cs="Arial" w:eastAsia="Arial" w:hAnsi="Arial"/>
          <w:sz w:val="22"/>
          <w:szCs w:val="22"/>
        </w:rPr>
        <w:t xml:space="preserve">Perhaps the most provocative and original concept in the work is the elevation of armed self-defense to the status of a Virtue — and not merely any virtue, but the singular Virtue of Protection, the guardian of all other virtues.</w:t>
      </w:r>
    </w:p>
    <w:p>
      <w:pPr>
        <w:spacing w:before="80" w:after="120"/>
      </w:pPr>
      <w:r>
        <w:rPr>
          <w:rFonts w:ascii="Arial" w:cs="Arial" w:eastAsia="Arial" w:hAnsi="Arial"/>
          <w:sz w:val="22"/>
          <w:szCs w:val="22"/>
        </w:rPr>
        <w:t xml:space="preserve">The philosophical argument is rigorous by the book's own logic: if Freedom is the elementary virtue, and if tyranny requires the disarming of populations as a prerequisite to subjugation, then the capacity to defend freedom by force is itself a virtue — the institutional immune system of the entire virtue structure.</w:t>
      </w:r>
    </w:p>
    <w:p>
      <w:pPr>
        <w:spacing w:before="80" w:after="120"/>
        <w:ind w:left="720"/>
      </w:pPr>
      <w:r>
        <w:rPr>
          <w:rFonts w:ascii="Arial" w:cs="Arial" w:eastAsia="Arial" w:hAnsi="Arial"/>
          <w:i/>
          <w:iCs/>
          <w:color w:val="444444"/>
          <w:sz w:val="22"/>
          <w:szCs w:val="22"/>
        </w:rPr>
        <w:t xml:space="preserve">"Virtudes são guerreiros no jardim, não jardineiros na guerra." ("Virtues are warriors in the garden, not gardeners in the war.")</w:t>
      </w:r>
    </w:p>
    <w:p>
      <w:pPr>
        <w:spacing w:before="80" w:after="120"/>
      </w:pPr>
      <w:r>
        <w:rPr>
          <w:rFonts w:ascii="Arial" w:cs="Arial" w:eastAsia="Arial" w:hAnsi="Arial"/>
          <w:sz w:val="22"/>
          <w:szCs w:val="22"/>
        </w:rPr>
        <w:t xml:space="preserve">No major tradition of virtue ethics — Aristotelian, Stoic, Kantian, Utilitarian, Christian — has elevated weapons or armed resistance to the status of a virtue. Courage in battle is recognized, but that is distinct. The claim here is that the disposition to bear arms and the active maintenance of an armed citizenry is itself a constitutive moral virtue — the guardian virtue.</w:t>
      </w:r>
    </w:p>
    <w:p>
      <w:pPr>
        <w:spacing w:before="80" w:after="120"/>
        <w:ind w:left="720"/>
      </w:pPr>
      <w:r>
        <w:rPr>
          <w:rFonts w:ascii="Arial" w:cs="Arial" w:eastAsia="Arial" w:hAnsi="Arial"/>
          <w:i/>
          <w:iCs/>
          <w:color w:val="444444"/>
          <w:sz w:val="22"/>
          <w:szCs w:val="22"/>
        </w:rPr>
        <w:t xml:space="preserve">"Armas nas mãos de poucos é tirania. Armas nas mãos do povo é democracia." ("Arms in the hands of the few is tyranny. Arms in the hands of the people is democracy.")</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4. The Virtude do Divino — Epistemology as Theology</w:t>
      </w:r>
    </w:p>
    <w:p>
      <w:pPr>
        <w:spacing w:before="80" w:after="120"/>
      </w:pPr>
      <w:r>
        <w:rPr>
          <w:rFonts w:ascii="Arial" w:cs="Arial" w:eastAsia="Arial" w:hAnsi="Arial"/>
          <w:sz w:val="22"/>
          <w:szCs w:val="22"/>
        </w:rPr>
        <w:t xml:space="preserve">The author designates a unique fifth category: the Virtue of the Divine, which he defines as "the unveiling" (o desvendar) — synonymous with critical thinking, the stripping of ideological blindfolds, and the pursuit of truth beyond the limits of human sensory perception.</w:t>
      </w:r>
    </w:p>
    <w:p>
      <w:pPr>
        <w:spacing w:before="80" w:after="120"/>
      </w:pPr>
      <w:r>
        <w:rPr>
          <w:rFonts w:ascii="Arial" w:cs="Arial" w:eastAsia="Arial" w:hAnsi="Arial"/>
          <w:sz w:val="22"/>
          <w:szCs w:val="22"/>
        </w:rPr>
        <w:t xml:space="preserve">The concept is unusual in merging epistemology and theology: the act of thinking critically, seeking the unknown, and expanding one's model of reality is simultaneously a spiritual act, the highest human approach to the Divine. The author uses a compelling thought experiment — comparing human epistemic limits to those of an amoeba trying to comprehend the cosmos — to argue that our five senses give us only a fragment of reality, and that the virtue of pressing beyond this fragment is where humanity approaches the sacred.</w:t>
      </w:r>
    </w:p>
    <w:p>
      <w:pPr>
        <w:spacing w:before="80" w:after="120"/>
        <w:ind w:left="720"/>
      </w:pPr>
      <w:r>
        <w:rPr>
          <w:rFonts w:ascii="Arial" w:cs="Arial" w:eastAsia="Arial" w:hAnsi="Arial"/>
          <w:i/>
          <w:iCs/>
          <w:color w:val="444444"/>
          <w:sz w:val="22"/>
          <w:szCs w:val="22"/>
        </w:rPr>
        <w:t xml:space="preserve">"Filho, olhe para o céu e verá o infinito, o macrocosmo, olhe para a terra e verá o infinito, o microcosmo. O infinito que nos rodeia é o Desvendar."</w:t>
      </w:r>
    </w:p>
    <w:p>
      <w:pPr>
        <w:spacing w:before="80" w:after="120"/>
      </w:pPr>
      <w:r>
        <w:rPr>
          <w:rFonts w:ascii="Arial" w:cs="Arial" w:eastAsia="Arial" w:hAnsi="Arial"/>
          <w:sz w:val="22"/>
          <w:szCs w:val="22"/>
        </w:rPr>
        <w:t xml:space="preserve">This synthesis — where scientific curiosity and epistemological humility are framed as divine virtues rather than secular activities — is rare in virtue ethics literature and creates an interesting bridge between rationalist and theological frameworks.</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5. BioSpiritual Virtues and the Temple of Nature</w:t>
      </w:r>
    </w:p>
    <w:p>
      <w:pPr>
        <w:spacing w:before="80" w:after="120"/>
      </w:pPr>
      <w:r>
        <w:rPr>
          <w:rFonts w:ascii="Arial" w:cs="Arial" w:eastAsia="Arial" w:hAnsi="Arial"/>
          <w:sz w:val="22"/>
          <w:szCs w:val="22"/>
        </w:rPr>
        <w:t xml:space="preserve">The author coins the term "BioEspiritual" to describe virtues as the link between biological (temporal) existence and spiritual (eternal) life. Nature itself is named the "BioSpiritual Temple" of virtues — the authentic habitat of human spiritual development.</w:t>
      </w:r>
    </w:p>
    <w:p>
      <w:pPr>
        <w:spacing w:before="80" w:after="120"/>
        <w:ind w:left="720"/>
      </w:pPr>
      <w:r>
        <w:rPr>
          <w:rFonts w:ascii="Arial" w:cs="Arial" w:eastAsia="Arial" w:hAnsi="Arial"/>
          <w:i/>
          <w:iCs/>
          <w:color w:val="444444"/>
          <w:sz w:val="22"/>
          <w:szCs w:val="22"/>
        </w:rPr>
        <w:t xml:space="preserve">"Virtudes são BioEspirituais, são o elo entre a vida biológica temporal com a vida espiritual eterna."</w:t>
      </w:r>
    </w:p>
    <w:p>
      <w:pPr>
        <w:spacing w:before="80" w:after="120"/>
      </w:pPr>
      <w:r>
        <w:rPr>
          <w:rFonts w:ascii="Arial" w:cs="Arial" w:eastAsia="Arial" w:hAnsi="Arial"/>
          <w:sz w:val="22"/>
          <w:szCs w:val="22"/>
        </w:rPr>
        <w:t xml:space="preserve">This framing refuses the classical dualism between nature and spirit, body and soul. Virtues are not supernatural impositions on a corrupt natural order, nor are they merely natural excellences of a biological creature. They are the interface between both — enacted in the body, rooted in biological existence, but pointing toward eternity. This positions the book in dialogue with eco-theology and deep ecology but with an entirely different conceptual grounding.</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6. The Virtuose — A New Category of Moral Agent</w:t>
      </w:r>
    </w:p>
    <w:p>
      <w:pPr>
        <w:spacing w:before="80" w:after="120"/>
      </w:pPr>
      <w:r>
        <w:rPr>
          <w:rFonts w:ascii="Arial" w:cs="Arial" w:eastAsia="Arial" w:hAnsi="Arial"/>
          <w:sz w:val="22"/>
          <w:szCs w:val="22"/>
        </w:rPr>
        <w:t xml:space="preserve">The author introduces "Virtuose" (distinct from "Virtuoso" in the musical sense) as a technical term for the active practitioner and defender of the Universal Human Virtues. The Virtuose is not merely a good person but a prophetic figure, a "warrior in the garden," someone who recognizes their divine mission and acts from virtues rather than law, fear, or social pressure.</w:t>
      </w:r>
    </w:p>
    <w:p>
      <w:pPr>
        <w:spacing w:before="80" w:after="120"/>
      </w:pPr>
      <w:r>
        <w:rPr>
          <w:rFonts w:ascii="Arial" w:cs="Arial" w:eastAsia="Arial" w:hAnsi="Arial"/>
          <w:sz w:val="22"/>
          <w:szCs w:val="22"/>
        </w:rPr>
        <w:t xml:space="preserve">The Virtuose is distinguished from: (a) the merely moral person who follows rules; (b) the religious person who follows doctrine; (c) the politically engaged citizen. The Virtuose is characterized by interiority — virtues as lived experience — combined with active defense of freedom as a sacred duty.</w:t>
      </w:r>
    </w:p>
    <w:p>
      <w:pPr>
        <w:spacing w:before="80" w:after="120"/>
        <w:ind w:left="720"/>
      </w:pPr>
      <w:r>
        <w:rPr>
          <w:rFonts w:ascii="Arial" w:cs="Arial" w:eastAsia="Arial" w:hAnsi="Arial"/>
          <w:i/>
          <w:iCs/>
          <w:color w:val="444444"/>
          <w:sz w:val="22"/>
          <w:szCs w:val="22"/>
        </w:rPr>
        <w:t xml:space="preserve">"O Virtuose é a essência e a experiência mais próxima do Divino na Terra. A pura presença Divina na ação do homem."</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7. Positive Existential Figures — An Unmapped Phenomenological Field</w:t>
      </w:r>
    </w:p>
    <w:p>
      <w:pPr>
        <w:spacing w:before="80" w:after="120"/>
      </w:pPr>
      <w:r>
        <w:rPr>
          <w:rFonts w:ascii="Arial" w:cs="Arial" w:eastAsia="Arial" w:hAnsi="Arial"/>
          <w:sz w:val="22"/>
          <w:szCs w:val="22"/>
        </w:rPr>
        <w:t xml:space="preserve">One of the book's subtler but philosophically interesting moves is the identification of a gap in existing phenomenology and psychology. The author observes that we have extensive clinical vocabulary for negative existential states (depression, anxiety, despair, phobia) but almost no vocabulary for the positive states that orient a person toward virtue.</w:t>
      </w:r>
    </w:p>
    <w:p>
      <w:pPr>
        <w:spacing w:before="80" w:after="120"/>
      </w:pPr>
      <w:r>
        <w:rPr>
          <w:rFonts w:ascii="Arial" w:cs="Arial" w:eastAsia="Arial" w:hAnsi="Arial"/>
          <w:sz w:val="22"/>
          <w:szCs w:val="22"/>
        </w:rPr>
        <w:t xml:space="preserve">He proposes that these unnamed states — the sudden desire to take a walk in nature, the inspiration to photograph something beautiful, the spontaneous wish to bring flowers to someone — are distinct from mere moods or drives. They are signals from the spirit, positive existential figures that map onto the virtue structure.</w:t>
      </w:r>
    </w:p>
    <w:p>
      <w:pPr>
        <w:spacing w:before="80" w:after="120"/>
        <w:ind w:left="720"/>
      </w:pPr>
      <w:r>
        <w:rPr>
          <w:rFonts w:ascii="Arial" w:cs="Arial" w:eastAsia="Arial" w:hAnsi="Arial"/>
          <w:i/>
          <w:iCs/>
          <w:color w:val="444444"/>
          <w:sz w:val="22"/>
          <w:szCs w:val="22"/>
        </w:rPr>
        <w:t xml:space="preserve">"As figuras existenciais positivas, ou plenas, ainda não foram bem definidas e catalogadas... carecendo um estudo propedêutico e taxonômico de suas naturezas."</w:t>
      </w:r>
    </w:p>
    <w:p>
      <w:pPr>
        <w:spacing w:before="80" w:after="120"/>
      </w:pPr>
      <w:r>
        <w:rPr>
          <w:rFonts w:ascii="Arial" w:cs="Arial" w:eastAsia="Arial" w:hAnsi="Arial"/>
          <w:sz w:val="22"/>
          <w:szCs w:val="22"/>
        </w:rPr>
        <w:t xml:space="preserve">This is a genuine contribution to phenomenological inquiry: a call for a taxonomy of positive existential states as the experiential counterpart to virtue. It parallels but extends positive psychology (Seligman, Csikszentmihalyi) by grounding the inquiry in a virtue-ontological rather than hedonic framework.</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8. The Multivirtuoso World Order — A New Geopolitical Theory</w:t>
      </w:r>
    </w:p>
    <w:p>
      <w:pPr>
        <w:spacing w:before="80" w:after="120"/>
      </w:pPr>
      <w:r>
        <w:rPr>
          <w:rFonts w:ascii="Arial" w:cs="Arial" w:eastAsia="Arial" w:hAnsi="Arial"/>
          <w:sz w:val="22"/>
          <w:szCs w:val="22"/>
        </w:rPr>
        <w:t xml:space="preserve">In Chapter IX, the author proposes a geopolitical concept with no equivalent in international relations literature. He argues that the familiar frameworks — unipolar, multipolar — are inadequate because they focus on power distributions rather than moral ones. His alternative: the world is "Multivirtuoso," possessing a "Floating Virtuosity" that permeates nations whether or not they acknowledge it.</w:t>
      </w:r>
    </w:p>
    <w:p>
      <w:pPr>
        <w:spacing w:before="80" w:after="120"/>
        <w:ind w:left="720"/>
      </w:pPr>
      <w:r>
        <w:rPr>
          <w:rFonts w:ascii="Arial" w:cs="Arial" w:eastAsia="Arial" w:hAnsi="Arial"/>
          <w:i/>
          <w:iCs/>
          <w:color w:val="444444"/>
          <w:sz w:val="22"/>
          <w:szCs w:val="22"/>
        </w:rPr>
        <w:t xml:space="preserve">"Não existe mundo unipolar ou multipolar... só existe um mundo, o mundo livre... o que verdadeiramente existe na geopolítica mundial é um mundo Multivirtuoso, com uma Virtuosidade Flutuante permeante."</w:t>
      </w:r>
    </w:p>
    <w:p>
      <w:pPr>
        <w:spacing w:before="80" w:after="120"/>
      </w:pPr>
      <w:r>
        <w:rPr>
          <w:rFonts w:ascii="Arial" w:cs="Arial" w:eastAsia="Arial" w:hAnsi="Arial"/>
          <w:sz w:val="22"/>
          <w:szCs w:val="22"/>
        </w:rPr>
        <w:t xml:space="preserve">The concept argues that nations share a common substrate of virtues that transcends ideological, cultural, and political differences. International cooperation should be organized around this shared virtuous substrate rather than around power balances, economic interests, or ideological alignments. The "Era Virtuosa" (Virtuous Era) is the projected horizon of this geopolitics.</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9. Virtues as Eternal Behaviors — Ontological Behaviorism</w:t>
      </w:r>
    </w:p>
    <w:p>
      <w:pPr>
        <w:spacing w:before="80" w:after="120"/>
      </w:pPr>
      <w:r>
        <w:rPr>
          <w:rFonts w:ascii="Arial" w:cs="Arial" w:eastAsia="Arial" w:hAnsi="Arial"/>
          <w:sz w:val="22"/>
          <w:szCs w:val="22"/>
        </w:rPr>
        <w:t xml:space="preserve">The author consistently refers to virtues as "Comportamentos Eternos" (Eternal Behaviors) rather than as dispositions, character traits, principles, or rules. This framing is philosophically significant: it locates virtues neither in the agent's psychology nor in abstract moral law, but in the enacted behavior itself as a timeless pattern.</w:t>
      </w:r>
    </w:p>
    <w:p>
      <w:pPr>
        <w:spacing w:before="80" w:after="120"/>
      </w:pPr>
      <w:r>
        <w:rPr>
          <w:rFonts w:ascii="Arial" w:cs="Arial" w:eastAsia="Arial" w:hAnsi="Arial"/>
          <w:sz w:val="22"/>
          <w:szCs w:val="22"/>
        </w:rPr>
        <w:t xml:space="preserve">A virtue, on this account, is a kind of behavioral archetype that exists independently of any particular person or culture — recognizable across millennia, identical in its moral core whether practiced by a Greek philosopher or a Brazilian laborer. This shares something with Platonism but is action-oriented rather than idealist, and it shares something with Confucian virtue theory but with a different metaphysical grounding.</w:t>
      </w:r>
    </w:p>
    <w:p>
      <w:pPr>
        <w:spacing w:before="80" w:after="120"/>
        <w:ind w:left="720"/>
      </w:pPr>
      <w:r>
        <w:rPr>
          <w:rFonts w:ascii="Arial" w:cs="Arial" w:eastAsia="Arial" w:hAnsi="Arial"/>
          <w:i/>
          <w:iCs/>
          <w:color w:val="444444"/>
          <w:sz w:val="22"/>
          <w:szCs w:val="22"/>
        </w:rPr>
        <w:t xml:space="preserve">"O minuto das Virtudes perdura pela eternidade." ("The minute of virtues endures through eternity.")</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10. The Present (O Presente) — Vocational Virtue Theory</w:t>
      </w:r>
    </w:p>
    <w:p>
      <w:pPr>
        <w:spacing w:before="80" w:after="120"/>
      </w:pPr>
      <w:r>
        <w:rPr>
          <w:rFonts w:ascii="Arial" w:cs="Arial" w:eastAsia="Arial" w:hAnsi="Arial"/>
          <w:sz w:val="22"/>
          <w:szCs w:val="22"/>
        </w:rPr>
        <w:t xml:space="preserve">Running throughout the book is a distinctive concept the author calls "o presente" — the gift or present. This is not a single virtue but a meta-concept: the unique virtue or talent that God entrusts to each individual, which constitutes their singular purpose in life.</w:t>
      </w:r>
    </w:p>
    <w:p>
      <w:pPr>
        <w:spacing w:before="80" w:after="120"/>
      </w:pPr>
      <w:r>
        <w:rPr>
          <w:rFonts w:ascii="Arial" w:cs="Arial" w:eastAsia="Arial" w:hAnsi="Arial"/>
          <w:sz w:val="22"/>
          <w:szCs w:val="22"/>
        </w:rPr>
        <w:t xml:space="preserve">This differs from Aristotelian "ergon" (function) and from Calvinist calling (vocation) in important ways. It is not a socially assigned role, not a divine command, and not the expression of species-nature. It is individually given, discovered through self-examination and lived experience, and constitutes the axis around which all other virtues organize themselves in a life.</w:t>
      </w:r>
    </w:p>
    <w:p>
      <w:pPr>
        <w:spacing w:before="80" w:after="120"/>
        <w:ind w:left="720"/>
      </w:pPr>
      <w:r>
        <w:rPr>
          <w:rFonts w:ascii="Arial" w:cs="Arial" w:eastAsia="Arial" w:hAnsi="Arial"/>
          <w:i/>
          <w:iCs/>
          <w:color w:val="444444"/>
          <w:sz w:val="22"/>
          <w:szCs w:val="22"/>
        </w:rPr>
        <w:t xml:space="preserve">"Descoberto seu dom, emerge sua razão de ser, seu propósito e seu significado no viver... Encontrado o presente, Deus flui pelas suas mãos."</w:t>
      </w:r>
    </w:p>
    <w:p>
      <w:pPr>
        <w:spacing w:before="80" w:after="120"/>
      </w:pPr>
      <w:r>
        <w:rPr>
          <w:rFonts w:ascii="Arial" w:cs="Arial" w:eastAsia="Arial" w:hAnsi="Arial"/>
          <w:sz w:val="22"/>
          <w:szCs w:val="22"/>
        </w:rPr>
        <w:t xml:space="preserve">The concept of the Present functions as the individualization principle of virtue theory — what makes virtue practice unique to each person rather than a generic moral program.</w:t>
      </w:r>
    </w:p>
    <w:p>
      <w:pPr>
        <w:spacing w:before="80" w:after="80"/>
      </w:pPr>
      <w:r>
        <w:t xml:space="preserve"/>
      </w:r>
    </w:p>
    <w:p>
      <w:pPr>
        <w:pBdr>
          <w:bottom w:val="single" w:color="CCCCCC" w:sz="4" w:space="1"/>
        </w:pBdr>
        <w:spacing w:before="120" w:after="120"/>
      </w:pPr>
    </w:p>
    <w:p>
      <w:pPr>
        <w:spacing w:before="80" w:after="80"/>
      </w:pPr>
      <w:r>
        <w:t xml:space="preserve"/>
      </w:r>
    </w:p>
    <w:p>
      <w:pPr>
        <w:pStyle w:val="Heading1"/>
        <w:spacing w:before="360" w:after="180"/>
      </w:pPr>
      <w:r>
        <w:rPr>
          <w:rFonts w:ascii="Arial" w:cs="Arial" w:eastAsia="Arial" w:hAnsi="Arial"/>
          <w:b/>
          <w:bCs/>
          <w:color w:val="1F3864"/>
          <w:sz w:val="32"/>
          <w:szCs w:val="32"/>
        </w:rPr>
        <w:t xml:space="preserve">Dialogue with Philosophical Tradition</w:t>
      </w:r>
    </w:p>
    <w:p>
      <w:pPr>
        <w:spacing w:before="80" w:after="120"/>
      </w:pPr>
      <w:r>
        <w:rPr>
          <w:rFonts w:ascii="Arial" w:cs="Arial" w:eastAsia="Arial" w:hAnsi="Arial"/>
          <w:sz w:val="22"/>
          <w:szCs w:val="22"/>
        </w:rPr>
        <w:t xml:space="preserve">The book explicitly acknowledges its relationship to classical virtue ethics while claiming to go beyond it:</w:t>
      </w:r>
    </w:p>
    <w:p>
      <w:pPr>
        <w:spacing w:before="80" w:after="120"/>
        <w:ind w:left="720"/>
      </w:pPr>
      <w:r>
        <w:rPr>
          <w:rFonts w:ascii="Arial" w:cs="Arial" w:eastAsia="Arial" w:hAnsi="Arial"/>
          <w:i/>
          <w:iCs/>
          <w:color w:val="444444"/>
          <w:sz w:val="22"/>
          <w:szCs w:val="22"/>
        </w:rPr>
        <w:t xml:space="preserve">"Não nos bastará aqui reforçar esse clássico... pela atual concepção de mundo, além é preciso ir."</w:t>
      </w:r>
    </w:p>
    <w:p>
      <w:pPr>
        <w:spacing w:before="80" w:after="120"/>
      </w:pPr>
      <w:r>
        <w:rPr>
          <w:rFonts w:ascii="Arial" w:cs="Arial" w:eastAsia="Arial" w:hAnsi="Arial"/>
          <w:sz w:val="22"/>
          <w:szCs w:val="22"/>
        </w:rPr>
        <w:t xml:space="preserve">The following traditions are engaged or implicitly addressed:</w:t>
      </w:r>
    </w:p>
    <w:p>
      <w:pPr>
        <w:pStyle w:val="ListParagraph"/>
        <w:numPr>
          <w:ilvl w:val="0"/>
          <w:numId w:val="2"/>
        </w:numPr>
        <w:spacing w:before="60" w:after="60"/>
      </w:pPr>
      <w:r>
        <w:rPr>
          <w:rFonts w:ascii="Arial" w:cs="Arial" w:eastAsia="Arial" w:hAnsi="Arial"/>
          <w:sz w:val="22"/>
          <w:szCs w:val="22"/>
        </w:rPr>
        <w:t xml:space="preserve">Aristotle: The analysis of virtues as means between extremes (courage between cowardice and rage) is explicitly adapted, with a table provided. However, the author rejects Aristotle's focus on the polis and replaces it with individual freedom.</w:t>
      </w:r>
    </w:p>
    <w:p>
      <w:pPr>
        <w:pStyle w:val="ListParagraph"/>
        <w:numPr>
          <w:ilvl w:val="0"/>
          <w:numId w:val="2"/>
        </w:numPr>
        <w:spacing w:before="60" w:after="60"/>
      </w:pPr>
      <w:r>
        <w:rPr>
          <w:rFonts w:ascii="Arial" w:cs="Arial" w:eastAsia="Arial" w:hAnsi="Arial"/>
          <w:sz w:val="22"/>
          <w:szCs w:val="22"/>
        </w:rPr>
        <w:t xml:space="preserve">Aquinas / Theological Virtues: The infused/acquired distinction is acknowledged in a footnote, but the author's concept of the Virtude do Divino constitutes a reinterpretation of the theological dimension.</w:t>
      </w:r>
    </w:p>
    <w:p>
      <w:pPr>
        <w:pStyle w:val="ListParagraph"/>
        <w:numPr>
          <w:ilvl w:val="0"/>
          <w:numId w:val="2"/>
        </w:numPr>
        <w:spacing w:before="60" w:after="60"/>
      </w:pPr>
      <w:r>
        <w:rPr>
          <w:rFonts w:ascii="Arial" w:cs="Arial" w:eastAsia="Arial" w:hAnsi="Arial"/>
          <w:sz w:val="22"/>
          <w:szCs w:val="22"/>
        </w:rPr>
        <w:t xml:space="preserve">Kant: The Virtue of Perfect Virtue is noted but found insufficient because it lacks engagement with the current geopolitical reality.</w:t>
      </w:r>
    </w:p>
    <w:p>
      <w:pPr>
        <w:pStyle w:val="ListParagraph"/>
        <w:numPr>
          <w:ilvl w:val="0"/>
          <w:numId w:val="2"/>
        </w:numPr>
        <w:spacing w:before="60" w:after="60"/>
      </w:pPr>
      <w:r>
        <w:rPr>
          <w:rFonts w:ascii="Arial" w:cs="Arial" w:eastAsia="Arial" w:hAnsi="Arial"/>
          <w:sz w:val="22"/>
          <w:szCs w:val="22"/>
        </w:rPr>
        <w:t xml:space="preserve">Nietzsche (implicit): The figure of the Virtuose as a warrior of the garden who does not ask permission echoes aspects of the Nietzschean noble, though the book's moral framework is theistic and anti-nihilistic.</w:t>
      </w:r>
    </w:p>
    <w:p>
      <w:pPr>
        <w:pStyle w:val="ListParagraph"/>
        <w:numPr>
          <w:ilvl w:val="0"/>
          <w:numId w:val="2"/>
        </w:numPr>
        <w:spacing w:before="60" w:after="60"/>
      </w:pPr>
      <w:r>
        <w:rPr>
          <w:rFonts w:ascii="Arial" w:cs="Arial" w:eastAsia="Arial" w:hAnsi="Arial"/>
          <w:sz w:val="22"/>
          <w:szCs w:val="22"/>
        </w:rPr>
        <w:t xml:space="preserve">Liberal political philosophy (Locke, Jefferson): The Declaration of Virtues clearly echoes the Declaration of Independence in form and spirit, but grounds rights in virtues rather than reason.</w:t>
      </w:r>
    </w:p>
    <w:p>
      <w:pPr>
        <w:spacing w:before="80" w:after="80"/>
      </w:pPr>
      <w:r>
        <w:t xml:space="preserve"/>
      </w:r>
    </w:p>
    <w:p>
      <w:pPr>
        <w:pBdr>
          <w:bottom w:val="single" w:color="CCCCCC" w:sz="4" w:space="1"/>
        </w:pBdr>
        <w:spacing w:before="120" w:after="120"/>
      </w:pPr>
    </w:p>
    <w:p>
      <w:pPr>
        <w:spacing w:before="80" w:after="80"/>
      </w:pPr>
      <w:r>
        <w:t xml:space="preserve"/>
      </w:r>
    </w:p>
    <w:p>
      <w:pPr>
        <w:pStyle w:val="Heading1"/>
        <w:spacing w:before="360" w:after="180"/>
      </w:pPr>
      <w:r>
        <w:rPr>
          <w:rFonts w:ascii="Arial" w:cs="Arial" w:eastAsia="Arial" w:hAnsi="Arial"/>
          <w:b/>
          <w:bCs/>
          <w:color w:val="1F3864"/>
          <w:sz w:val="32"/>
          <w:szCs w:val="32"/>
        </w:rPr>
        <w:t xml:space="preserve">Critical Assessment</w:t>
      </w:r>
    </w:p>
    <w:p>
      <w:pPr>
        <w:pStyle w:val="Heading2"/>
        <w:spacing w:before="260" w:after="120"/>
      </w:pPr>
      <w:r>
        <w:rPr>
          <w:rFonts w:ascii="Arial" w:cs="Arial" w:eastAsia="Arial" w:hAnsi="Arial"/>
          <w:b/>
          <w:bCs/>
          <w:color w:val="2E5090"/>
          <w:sz w:val="26"/>
          <w:szCs w:val="26"/>
        </w:rPr>
        <w:t xml:space="preserve">Strengths</w:t>
      </w:r>
    </w:p>
    <w:p>
      <w:pPr>
        <w:pStyle w:val="ListParagraph"/>
        <w:numPr>
          <w:ilvl w:val="0"/>
          <w:numId w:val="2"/>
        </w:numPr>
        <w:spacing w:before="60" w:after="60"/>
      </w:pPr>
      <w:r>
        <w:rPr>
          <w:rFonts w:ascii="Arial" w:cs="Arial" w:eastAsia="Arial" w:hAnsi="Arial"/>
          <w:sz w:val="22"/>
          <w:szCs w:val="22"/>
        </w:rPr>
        <w:t xml:space="preserve">Systematic architecture: The 5-tier virtue hierarchy is a coherent and original structural framework with genuine philosophical value.</w:t>
      </w:r>
    </w:p>
    <w:p>
      <w:pPr>
        <w:pStyle w:val="ListParagraph"/>
        <w:numPr>
          <w:ilvl w:val="0"/>
          <w:numId w:val="2"/>
        </w:numPr>
        <w:spacing w:before="60" w:after="60"/>
      </w:pPr>
      <w:r>
        <w:rPr>
          <w:rFonts w:ascii="Arial" w:cs="Arial" w:eastAsia="Arial" w:hAnsi="Arial"/>
          <w:sz w:val="22"/>
          <w:szCs w:val="22"/>
        </w:rPr>
        <w:t xml:space="preserve">Integration of political and moral philosophy: The connection between virtue theory and political freedom is developed more rigorously than in most popular works.</w:t>
      </w:r>
    </w:p>
    <w:p>
      <w:pPr>
        <w:pStyle w:val="ListParagraph"/>
        <w:numPr>
          <w:ilvl w:val="0"/>
          <w:numId w:val="2"/>
        </w:numPr>
        <w:spacing w:before="60" w:after="60"/>
      </w:pPr>
      <w:r>
        <w:rPr>
          <w:rFonts w:ascii="Arial" w:cs="Arial" w:eastAsia="Arial" w:hAnsi="Arial"/>
          <w:sz w:val="22"/>
          <w:szCs w:val="22"/>
        </w:rPr>
        <w:t xml:space="preserve">Phenomenological observation: The identification of positive existential figures as an unmapped field is a legitimate philosophical insight.</w:t>
      </w:r>
    </w:p>
    <w:p>
      <w:pPr>
        <w:pStyle w:val="ListParagraph"/>
        <w:numPr>
          <w:ilvl w:val="0"/>
          <w:numId w:val="2"/>
        </w:numPr>
        <w:spacing w:before="60" w:after="60"/>
      </w:pPr>
      <w:r>
        <w:rPr>
          <w:rFonts w:ascii="Arial" w:cs="Arial" w:eastAsia="Arial" w:hAnsi="Arial"/>
          <w:sz w:val="22"/>
          <w:szCs w:val="22"/>
        </w:rPr>
        <w:t xml:space="preserve">Accessibility: The combination of aphoristic writing and systematic argument makes complex ideas approachable.</w:t>
      </w:r>
    </w:p>
    <w:p>
      <w:pPr>
        <w:spacing w:before="80" w:after="80"/>
      </w:pPr>
      <w:r>
        <w:t xml:space="preserve"/>
      </w:r>
    </w:p>
    <w:p>
      <w:pPr>
        <w:pStyle w:val="Heading2"/>
        <w:spacing w:before="260" w:after="120"/>
      </w:pPr>
      <w:r>
        <w:rPr>
          <w:rFonts w:ascii="Arial" w:cs="Arial" w:eastAsia="Arial" w:hAnsi="Arial"/>
          <w:b/>
          <w:bCs/>
          <w:color w:val="2E5090"/>
          <w:sz w:val="26"/>
          <w:szCs w:val="26"/>
        </w:rPr>
        <w:t xml:space="preserve">Tensions and Limitations</w:t>
      </w:r>
    </w:p>
    <w:p>
      <w:pPr>
        <w:pStyle w:val="ListParagraph"/>
        <w:numPr>
          <w:ilvl w:val="0"/>
          <w:numId w:val="2"/>
        </w:numPr>
        <w:spacing w:before="60" w:after="60"/>
      </w:pPr>
      <w:r>
        <w:rPr>
          <w:rFonts w:ascii="Arial" w:cs="Arial" w:eastAsia="Arial" w:hAnsi="Arial"/>
          <w:sz w:val="22"/>
          <w:szCs w:val="22"/>
        </w:rPr>
        <w:t xml:space="preserve">The Virtue of Protection (arms-bearing) will be highly contested: elevating it to a virtue rather than a right or a political necessity conflates moral philosophy with a specific political position.</w:t>
      </w:r>
    </w:p>
    <w:p>
      <w:pPr>
        <w:pStyle w:val="ListParagraph"/>
        <w:numPr>
          <w:ilvl w:val="0"/>
          <w:numId w:val="2"/>
        </w:numPr>
        <w:spacing w:before="60" w:after="60"/>
      </w:pPr>
      <w:r>
        <w:rPr>
          <w:rFonts w:ascii="Arial" w:cs="Arial" w:eastAsia="Arial" w:hAnsi="Arial"/>
          <w:sz w:val="22"/>
          <w:szCs w:val="22"/>
        </w:rPr>
        <w:t xml:space="preserve">The book occasionally slides between descriptive claims ("this is what virtues are") and normative claims ("this is what people should do") without marking the transition.</w:t>
      </w:r>
    </w:p>
    <w:p>
      <w:pPr>
        <w:pStyle w:val="ListParagraph"/>
        <w:numPr>
          <w:ilvl w:val="0"/>
          <w:numId w:val="2"/>
        </w:numPr>
        <w:spacing w:before="60" w:after="60"/>
      </w:pPr>
      <w:r>
        <w:rPr>
          <w:rFonts w:ascii="Arial" w:cs="Arial" w:eastAsia="Arial" w:hAnsi="Arial"/>
          <w:sz w:val="22"/>
          <w:szCs w:val="22"/>
        </w:rPr>
        <w:t xml:space="preserve">The treatment of "false virtues" (equality as potentially a vice; hierarchy as potentially tyrannical) is insightful but underdeveloped.</w:t>
      </w:r>
    </w:p>
    <w:p>
      <w:pPr>
        <w:pStyle w:val="ListParagraph"/>
        <w:numPr>
          <w:ilvl w:val="0"/>
          <w:numId w:val="2"/>
        </w:numPr>
        <w:spacing w:before="60" w:after="60"/>
      </w:pPr>
      <w:r>
        <w:rPr>
          <w:rFonts w:ascii="Arial" w:cs="Arial" w:eastAsia="Arial" w:hAnsi="Arial"/>
          <w:sz w:val="22"/>
          <w:szCs w:val="22"/>
        </w:rPr>
        <w:t xml:space="preserve">The lengthy Chapter XI on the Spiritual War of virtues against tyranny extends into political commentary that, while powerful, moves away from philosophical analysis proper.</w:t>
      </w:r>
    </w:p>
    <w:p>
      <w:pPr>
        <w:spacing w:before="80" w:after="80"/>
      </w:pPr>
      <w:r>
        <w:t xml:space="preserve"/>
      </w:r>
    </w:p>
    <w:p>
      <w:pPr>
        <w:pBdr>
          <w:bottom w:val="single" w:color="CCCCCC" w:sz="4" w:space="1"/>
        </w:pBdr>
        <w:spacing w:before="120" w:after="120"/>
      </w:pPr>
    </w:p>
    <w:p>
      <w:pPr>
        <w:spacing w:before="80" w:after="80"/>
      </w:pPr>
      <w:r>
        <w:t xml:space="preserve"/>
      </w:r>
    </w:p>
    <w:p>
      <w:pPr>
        <w:pStyle w:val="Heading1"/>
        <w:spacing w:before="360" w:after="180"/>
      </w:pPr>
      <w:r>
        <w:rPr>
          <w:rFonts w:ascii="Arial" w:cs="Arial" w:eastAsia="Arial" w:hAnsi="Arial"/>
          <w:b/>
          <w:bCs/>
          <w:color w:val="1F3864"/>
          <w:sz w:val="32"/>
          <w:szCs w:val="32"/>
        </w:rPr>
        <w:t xml:space="preserve">Conclusion</w:t>
      </w:r>
    </w:p>
    <w:p>
      <w:pPr>
        <w:spacing w:before="80" w:after="120"/>
      </w:pPr>
      <w:r>
        <w:rPr>
          <w:rFonts w:ascii="Arial" w:cs="Arial" w:eastAsia="Arial" w:hAnsi="Arial"/>
          <w:sz w:val="22"/>
          <w:szCs w:val="22"/>
        </w:rPr>
        <w:t xml:space="preserve">Filosofia das Virtudes makes a serious contribution to virtue ethics by introducing a number of genuinely original concepts: the structural tiering of virtues with Freedom as their elementary building block; the elevation of armed self-defense to a guardian virtue; the identification of BioSpiritual virtues rooted in nature; the phenomenological concept of positive existential figures; and the Multivirtuoso geopolitical theory.</w:t>
      </w:r>
    </w:p>
    <w:p>
      <w:pPr>
        <w:spacing w:before="80" w:after="120"/>
      </w:pPr>
      <w:r>
        <w:rPr>
          <w:rFonts w:ascii="Arial" w:cs="Arial" w:eastAsia="Arial" w:hAnsi="Arial"/>
          <w:sz w:val="22"/>
          <w:szCs w:val="22"/>
        </w:rPr>
        <w:t xml:space="preserve">While some positions — particularly the arms-bearing virtue — will generate controversy in academic philosophy, the overall framework represents a coherent and ambitious attempt to rebuild virtue ethics for a contemporary political and spiritual context. The author writes with autobiographical urgency, theological conviction, and systematic ambition — an unusual and distinctive combination in contemporary moral philosophy.</w:t>
      </w:r>
    </w:p>
    <w:p>
      <w:pPr>
        <w:spacing w:before="80" w:after="120"/>
        <w:ind w:left="720"/>
      </w:pPr>
      <w:r>
        <w:rPr>
          <w:rFonts w:ascii="Arial" w:cs="Arial" w:eastAsia="Arial" w:hAnsi="Arial"/>
          <w:i/>
          <w:iCs/>
          <w:color w:val="444444"/>
          <w:sz w:val="22"/>
          <w:szCs w:val="22"/>
        </w:rPr>
        <w:t xml:space="preserve">"Não há caminho para as Virtudes, as Virtudes são o caminho." ("There is no path to virtues — the virtues are the path.")</w:t>
      </w:r>
    </w:p>
    <w:p>
      <w:pPr>
        <w:spacing w:before="80" w:after="80"/>
      </w:pPr>
      <w:r>
        <w:t xml:space="preserve"/>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Philosophical Analysis — Filosofia das Virtudes | José Caetano de Mattos (2023)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sz w:val="32"/>
      <w:szCs w:val="32"/>
    </w:rPr>
  </w:style>
  <w:style w:type="paragraph" w:styleId="Heading2">
    <w:name w:val="Heading 2"/>
    <w:basedOn w:val="Normal"/>
    <w:next w:val="Normal"/>
    <w:qFormat/>
    <w:pPr>
      <w:spacing w:before="260" w:after="12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2026-03-06T21:26:12.151Z</dcterms:created>
  <dcterms:modified xsi:type="dcterms:W3CDTF">2026-03-06T21:26:12.152Z</dcterms:modified>
</cp:coreProperties>
</file>

<file path=docProps/custom.xml><?xml version="1.0" encoding="utf-8"?>
<Properties xmlns="http://schemas.openxmlformats.org/officeDocument/2006/custom-properties" xmlns:vt="http://schemas.openxmlformats.org/officeDocument/2006/docPropsVTypes"/>
</file>