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C730" w14:textId="77777777" w:rsidR="00804D20" w:rsidRDefault="00804D20">
      <w:pPr>
        <w:spacing w:before="1800"/>
      </w:pPr>
    </w:p>
    <w:p w14:paraId="0249C731" w14:textId="77777777" w:rsidR="00804D20" w:rsidRPr="006D27E0" w:rsidRDefault="00B968B3">
      <w:pPr>
        <w:spacing w:after="80"/>
        <w:jc w:val="center"/>
        <w:rPr>
          <w:lang w:val="en-US"/>
        </w:rPr>
      </w:pPr>
      <w:r w:rsidRPr="006D27E0">
        <w:rPr>
          <w:b/>
          <w:bCs/>
          <w:caps/>
          <w:color w:val="B8972A"/>
          <w:lang w:val="en-US"/>
        </w:rPr>
        <w:t>COMPARATIVE LEGAL ANALYSIS</w:t>
      </w:r>
    </w:p>
    <w:p w14:paraId="0249C732" w14:textId="77777777" w:rsidR="00804D20" w:rsidRPr="006D27E0" w:rsidRDefault="00804D20">
      <w:pPr>
        <w:pBdr>
          <w:bottom w:val="single" w:sz="8" w:space="1" w:color="B8972A"/>
        </w:pBdr>
        <w:spacing w:after="120"/>
        <w:rPr>
          <w:lang w:val="en-US"/>
        </w:rPr>
      </w:pPr>
    </w:p>
    <w:p w14:paraId="0249C733" w14:textId="77777777" w:rsidR="00804D20" w:rsidRPr="006D27E0" w:rsidRDefault="00B968B3">
      <w:pPr>
        <w:spacing w:before="80" w:after="80"/>
        <w:jc w:val="center"/>
        <w:rPr>
          <w:lang w:val="en-US"/>
        </w:rPr>
      </w:pPr>
      <w:r w:rsidRPr="006D27E0">
        <w:rPr>
          <w:b/>
          <w:bCs/>
          <w:color w:val="1B2A4A"/>
          <w:sz w:val="46"/>
          <w:szCs w:val="46"/>
          <w:lang w:val="en-US"/>
        </w:rPr>
        <w:t xml:space="preserve">Holocaust, Holodomor &amp; </w:t>
      </w:r>
      <w:proofErr w:type="spellStart"/>
      <w:r w:rsidRPr="006D27E0">
        <w:rPr>
          <w:b/>
          <w:bCs/>
          <w:color w:val="1B2A4A"/>
          <w:sz w:val="46"/>
          <w:szCs w:val="46"/>
          <w:lang w:val="en-US"/>
        </w:rPr>
        <w:t>Holoviceosis</w:t>
      </w:r>
      <w:proofErr w:type="spellEnd"/>
    </w:p>
    <w:p w14:paraId="0249C734" w14:textId="77777777" w:rsidR="00804D20" w:rsidRPr="006D27E0" w:rsidRDefault="00B968B3">
      <w:pPr>
        <w:spacing w:before="80" w:after="400"/>
        <w:jc w:val="center"/>
        <w:rPr>
          <w:lang w:val="en-US"/>
        </w:rPr>
      </w:pPr>
      <w:r w:rsidRPr="006D27E0">
        <w:rPr>
          <w:i/>
          <w:iCs/>
          <w:color w:val="8B1A1A"/>
          <w:sz w:val="28"/>
          <w:szCs w:val="28"/>
          <w:lang w:val="en-US"/>
        </w:rPr>
        <w:t xml:space="preserve">Towards a Legal Basis for the </w:t>
      </w:r>
      <w:proofErr w:type="spellStart"/>
      <w:r w:rsidRPr="006D27E0">
        <w:rPr>
          <w:i/>
          <w:iCs/>
          <w:color w:val="8B1A1A"/>
          <w:sz w:val="28"/>
          <w:szCs w:val="28"/>
          <w:lang w:val="en-US"/>
        </w:rPr>
        <w:t>Criminalisation</w:t>
      </w:r>
      <w:proofErr w:type="spellEnd"/>
      <w:r w:rsidRPr="006D27E0">
        <w:rPr>
          <w:i/>
          <w:iCs/>
          <w:color w:val="8B1A1A"/>
          <w:sz w:val="28"/>
          <w:szCs w:val="28"/>
          <w:lang w:val="en-US"/>
        </w:rPr>
        <w:t xml:space="preserve"> of </w:t>
      </w:r>
      <w:proofErr w:type="spellStart"/>
      <w:r w:rsidRPr="006D27E0">
        <w:rPr>
          <w:i/>
          <w:iCs/>
          <w:color w:val="8B1A1A"/>
          <w:sz w:val="28"/>
          <w:szCs w:val="28"/>
          <w:lang w:val="en-US"/>
        </w:rPr>
        <w:t>Holoviceosis</w:t>
      </w:r>
      <w:proofErr w:type="spellEnd"/>
    </w:p>
    <w:p w14:paraId="0249C735" w14:textId="77777777" w:rsidR="00804D20" w:rsidRPr="006D27E0" w:rsidRDefault="00804D20">
      <w:pPr>
        <w:pBdr>
          <w:bottom w:val="single" w:sz="8" w:space="1" w:color="1B2A4A"/>
        </w:pBdr>
        <w:spacing w:after="120"/>
        <w:rPr>
          <w:lang w:val="en-US"/>
        </w:rPr>
      </w:pPr>
    </w:p>
    <w:p w14:paraId="0249C736" w14:textId="77777777" w:rsidR="00804D20" w:rsidRPr="006D27E0" w:rsidRDefault="00804D20">
      <w:pPr>
        <w:spacing w:before="400"/>
        <w:rPr>
          <w:lang w:val="en-US"/>
        </w:rPr>
      </w:pPr>
    </w:p>
    <w:p w14:paraId="0249C737" w14:textId="77777777" w:rsidR="00804D20" w:rsidRPr="006D27E0" w:rsidRDefault="00B968B3">
      <w:pPr>
        <w:spacing w:after="60"/>
        <w:jc w:val="center"/>
        <w:rPr>
          <w:lang w:val="en-US"/>
        </w:rPr>
      </w:pPr>
      <w:r w:rsidRPr="006D27E0">
        <w:rPr>
          <w:color w:val="666666"/>
          <w:lang w:val="en-US"/>
        </w:rPr>
        <w:t>A Comparative Analysis of the Death Sentences of the Nuremberg Trials</w:t>
      </w:r>
    </w:p>
    <w:p w14:paraId="0249C738" w14:textId="77777777" w:rsidR="00804D20" w:rsidRPr="006D27E0" w:rsidRDefault="00B968B3">
      <w:pPr>
        <w:spacing w:after="60"/>
        <w:jc w:val="center"/>
        <w:rPr>
          <w:lang w:val="en-US"/>
        </w:rPr>
      </w:pPr>
      <w:r w:rsidRPr="006D27E0">
        <w:rPr>
          <w:color w:val="666666"/>
          <w:lang w:val="en-US"/>
        </w:rPr>
        <w:t>and the Absence of Justice for the Holodomor,</w:t>
      </w:r>
    </w:p>
    <w:p w14:paraId="0249C739" w14:textId="77777777" w:rsidR="00804D20" w:rsidRPr="006D27E0" w:rsidRDefault="00B968B3">
      <w:pPr>
        <w:spacing w:after="400"/>
        <w:jc w:val="center"/>
        <w:rPr>
          <w:lang w:val="en-US"/>
        </w:rPr>
      </w:pPr>
      <w:r w:rsidRPr="006D27E0">
        <w:rPr>
          <w:color w:val="666666"/>
          <w:lang w:val="en-US"/>
        </w:rPr>
        <w:t xml:space="preserve">establishing a Precedent for the </w:t>
      </w:r>
      <w:proofErr w:type="spellStart"/>
      <w:r w:rsidRPr="006D27E0">
        <w:rPr>
          <w:color w:val="666666"/>
          <w:lang w:val="en-US"/>
        </w:rPr>
        <w:t>Criminalisation</w:t>
      </w:r>
      <w:proofErr w:type="spellEnd"/>
      <w:r w:rsidRPr="006D27E0">
        <w:rPr>
          <w:color w:val="666666"/>
          <w:lang w:val="en-US"/>
        </w:rPr>
        <w:t xml:space="preserve"> of Systemic Virtue Inversion</w:t>
      </w:r>
    </w:p>
    <w:p w14:paraId="0249C73A" w14:textId="77777777" w:rsidR="00804D20" w:rsidRPr="006D27E0" w:rsidRDefault="00804D20">
      <w:pPr>
        <w:spacing w:before="1200"/>
        <w:rPr>
          <w:lang w:val="en-US"/>
        </w:rPr>
      </w:pPr>
    </w:p>
    <w:p w14:paraId="0249C73B" w14:textId="77777777" w:rsidR="00804D20" w:rsidRPr="006D27E0" w:rsidRDefault="00B968B3">
      <w:pPr>
        <w:spacing w:after="40"/>
        <w:jc w:val="center"/>
        <w:rPr>
          <w:lang w:val="pt-BR"/>
        </w:rPr>
      </w:pPr>
      <w:proofErr w:type="spellStart"/>
      <w:r w:rsidRPr="006D27E0">
        <w:rPr>
          <w:i/>
          <w:iCs/>
          <w:color w:val="666666"/>
          <w:sz w:val="20"/>
          <w:szCs w:val="20"/>
          <w:lang w:val="pt-BR"/>
        </w:rPr>
        <w:t>Based</w:t>
      </w:r>
      <w:proofErr w:type="spellEnd"/>
      <w:r w:rsidRPr="006D27E0">
        <w:rPr>
          <w:i/>
          <w:iCs/>
          <w:color w:val="666666"/>
          <w:sz w:val="20"/>
          <w:szCs w:val="20"/>
          <w:lang w:val="pt-BR"/>
        </w:rPr>
        <w:t xml:space="preserve"> </w:t>
      </w:r>
      <w:proofErr w:type="spellStart"/>
      <w:r w:rsidRPr="006D27E0">
        <w:rPr>
          <w:i/>
          <w:iCs/>
          <w:color w:val="666666"/>
          <w:sz w:val="20"/>
          <w:szCs w:val="20"/>
          <w:lang w:val="pt-BR"/>
        </w:rPr>
        <w:t>on</w:t>
      </w:r>
      <w:proofErr w:type="spellEnd"/>
      <w:r w:rsidRPr="006D27E0">
        <w:rPr>
          <w:i/>
          <w:iCs/>
          <w:color w:val="666666"/>
          <w:sz w:val="20"/>
          <w:szCs w:val="20"/>
          <w:lang w:val="pt-BR"/>
        </w:rPr>
        <w:t>: Filosofia das Virtudes — Manifesto das Virtudes</w:t>
      </w:r>
    </w:p>
    <w:p w14:paraId="0249C73C" w14:textId="77777777" w:rsidR="00804D20" w:rsidRPr="006D27E0" w:rsidRDefault="00B968B3">
      <w:pPr>
        <w:spacing w:after="40"/>
        <w:jc w:val="center"/>
        <w:rPr>
          <w:lang w:val="pt-BR"/>
        </w:rPr>
      </w:pPr>
      <w:r w:rsidRPr="006D27E0">
        <w:rPr>
          <w:color w:val="666666"/>
          <w:sz w:val="20"/>
          <w:szCs w:val="20"/>
          <w:lang w:val="pt-BR"/>
        </w:rPr>
        <w:t>José Caetano de Mattos Neto  ·  Rio de Janeiro, 2023</w:t>
      </w:r>
    </w:p>
    <w:p w14:paraId="0249C73D" w14:textId="77777777" w:rsidR="00804D20" w:rsidRPr="006D27E0" w:rsidRDefault="00B968B3">
      <w:pPr>
        <w:jc w:val="center"/>
        <w:rPr>
          <w:lang w:val="en-US"/>
        </w:rPr>
      </w:pPr>
      <w:r w:rsidRPr="006D27E0">
        <w:rPr>
          <w:color w:val="666666"/>
          <w:sz w:val="20"/>
          <w:szCs w:val="20"/>
          <w:lang w:val="en-US"/>
        </w:rPr>
        <w:t>Research &amp; Analysis  ·  March 2026</w:t>
      </w:r>
    </w:p>
    <w:p w14:paraId="0249C73E" w14:textId="77777777" w:rsidR="00804D20" w:rsidRPr="006D27E0" w:rsidRDefault="00B968B3">
      <w:pPr>
        <w:rPr>
          <w:lang w:val="en-US"/>
        </w:rPr>
      </w:pPr>
      <w:r w:rsidRPr="006D27E0">
        <w:rPr>
          <w:lang w:val="en-US"/>
        </w:rPr>
        <w:br w:type="page"/>
      </w:r>
    </w:p>
    <w:p w14:paraId="0249C73F" w14:textId="77777777" w:rsidR="00804D20" w:rsidRPr="006D27E0" w:rsidRDefault="00B968B3">
      <w:pPr>
        <w:pStyle w:val="Heading1"/>
        <w:pBdr>
          <w:bottom w:val="single" w:sz="6" w:space="4" w:color="B8972A"/>
        </w:pBdr>
        <w:rPr>
          <w:lang w:val="en-US"/>
        </w:rPr>
      </w:pPr>
      <w:r w:rsidRPr="006D27E0">
        <w:rPr>
          <w:lang w:val="en-US"/>
        </w:rPr>
        <w:lastRenderedPageBreak/>
        <w:t>Preamble: Three Crimes, One Legal Question</w:t>
      </w:r>
    </w:p>
    <w:p w14:paraId="0249C740" w14:textId="77777777" w:rsidR="00804D20" w:rsidRPr="006D27E0" w:rsidRDefault="00B968B3">
      <w:pPr>
        <w:spacing w:before="100" w:after="100"/>
        <w:jc w:val="both"/>
        <w:rPr>
          <w:lang w:val="en-US"/>
        </w:rPr>
      </w:pPr>
      <w:r w:rsidRPr="006D27E0">
        <w:rPr>
          <w:color w:val="3C3C3C"/>
          <w:lang w:val="en-US"/>
        </w:rPr>
        <w:t>The 20th century produced three paradigmatic instances of state-</w:t>
      </w:r>
      <w:proofErr w:type="spellStart"/>
      <w:r w:rsidRPr="006D27E0">
        <w:rPr>
          <w:color w:val="3C3C3C"/>
          <w:lang w:val="en-US"/>
        </w:rPr>
        <w:t>organised</w:t>
      </w:r>
      <w:proofErr w:type="spellEnd"/>
      <w:r w:rsidRPr="006D27E0">
        <w:rPr>
          <w:color w:val="3C3C3C"/>
          <w:lang w:val="en-US"/>
        </w:rPr>
        <w:t xml:space="preserve"> mass destruction: the Holocaust (1933–1945), the Holodomor (1932–1933), and — proposed by Brazilian philosopher José Caetano de Mattos Neto — </w:t>
      </w:r>
      <w:proofErr w:type="spellStart"/>
      <w:r w:rsidRPr="006D27E0">
        <w:rPr>
          <w:color w:val="3C3C3C"/>
          <w:lang w:val="en-US"/>
        </w:rPr>
        <w:t>Holoviceosis</w:t>
      </w:r>
      <w:proofErr w:type="spellEnd"/>
      <w:r w:rsidRPr="006D27E0">
        <w:rPr>
          <w:color w:val="3C3C3C"/>
          <w:lang w:val="en-US"/>
        </w:rPr>
        <w:t xml:space="preserve">, the ongoing condition of mass death and subjugation produced by the systematic replacement of virtues by vices in service of power. The first two are historical events of </w:t>
      </w:r>
      <w:proofErr w:type="spellStart"/>
      <w:r w:rsidRPr="006D27E0">
        <w:rPr>
          <w:color w:val="3C3C3C"/>
          <w:lang w:val="en-US"/>
        </w:rPr>
        <w:t>recognised</w:t>
      </w:r>
      <w:proofErr w:type="spellEnd"/>
      <w:r w:rsidRPr="006D27E0">
        <w:rPr>
          <w:color w:val="3C3C3C"/>
          <w:lang w:val="en-US"/>
        </w:rPr>
        <w:t xml:space="preserve"> horror. The third is a structural condition that, its author argues, produces comparable aggregate mortality while remaining invisible through dispersal across ordi</w:t>
      </w:r>
      <w:r w:rsidRPr="006D27E0">
        <w:rPr>
          <w:color w:val="3C3C3C"/>
          <w:lang w:val="en-US"/>
        </w:rPr>
        <w:t>nary social life.</w:t>
      </w:r>
    </w:p>
    <w:p w14:paraId="0249C741" w14:textId="77777777" w:rsidR="00804D20" w:rsidRPr="006D27E0" w:rsidRDefault="00B968B3">
      <w:pPr>
        <w:spacing w:before="100" w:after="100"/>
        <w:jc w:val="both"/>
        <w:rPr>
          <w:lang w:val="en-US"/>
        </w:rPr>
      </w:pPr>
      <w:r w:rsidRPr="006D27E0">
        <w:rPr>
          <w:color w:val="3C3C3C"/>
          <w:lang w:val="en-US"/>
        </w:rPr>
        <w:t xml:space="preserve">This analysis asks a precise legal question: what principles governed the imposition of the death penalty upon the architects of the Holocaust at Nuremberg, what accountability — if any — was ever rendered for the Holodomor, and what do these two historical experiences, together, establish as the legal and philosophical basis for the eventual </w:t>
      </w:r>
      <w:proofErr w:type="spellStart"/>
      <w:r w:rsidRPr="006D27E0">
        <w:rPr>
          <w:color w:val="3C3C3C"/>
          <w:lang w:val="en-US"/>
        </w:rPr>
        <w:t>criminalisation</w:t>
      </w:r>
      <w:proofErr w:type="spellEnd"/>
      <w:r w:rsidRPr="006D27E0">
        <w:rPr>
          <w:color w:val="3C3C3C"/>
          <w:lang w:val="en-US"/>
        </w:rPr>
        <w:t xml:space="preserve"> of </w:t>
      </w:r>
      <w:proofErr w:type="spellStart"/>
      <w:r w:rsidRPr="006D27E0">
        <w:rPr>
          <w:color w:val="3C3C3C"/>
          <w:lang w:val="en-US"/>
        </w:rPr>
        <w:t>Holoviceosis</w:t>
      </w:r>
      <w:proofErr w:type="spellEnd"/>
      <w:r w:rsidRPr="006D27E0">
        <w:rPr>
          <w:color w:val="3C3C3C"/>
          <w:lang w:val="en-US"/>
        </w:rPr>
        <w:t>?</w:t>
      </w:r>
    </w:p>
    <w:p w14:paraId="0249C742" w14:textId="77777777" w:rsidR="00804D20" w:rsidRPr="006D27E0" w:rsidRDefault="00B968B3">
      <w:pPr>
        <w:pBdr>
          <w:left w:val="single" w:sz="12" w:space="8" w:color="B8972A"/>
        </w:pBdr>
        <w:spacing w:before="160" w:after="160"/>
        <w:ind w:left="720" w:right="720"/>
        <w:jc w:val="both"/>
        <w:rPr>
          <w:lang w:val="en-US"/>
        </w:rPr>
      </w:pPr>
      <w:r w:rsidRPr="006D27E0">
        <w:rPr>
          <w:i/>
          <w:iCs/>
          <w:color w:val="666666"/>
          <w:sz w:val="21"/>
          <w:szCs w:val="21"/>
          <w:lang w:val="en-US"/>
        </w:rPr>
        <w:t>"</w:t>
      </w:r>
      <w:proofErr w:type="spellStart"/>
      <w:r w:rsidRPr="006D27E0">
        <w:rPr>
          <w:i/>
          <w:iCs/>
          <w:color w:val="666666"/>
          <w:sz w:val="21"/>
          <w:szCs w:val="21"/>
          <w:lang w:val="en-US"/>
        </w:rPr>
        <w:t>Holoviceosis</w:t>
      </w:r>
      <w:proofErr w:type="spellEnd"/>
      <w:r w:rsidRPr="006D27E0">
        <w:rPr>
          <w:i/>
          <w:iCs/>
          <w:color w:val="666666"/>
          <w:sz w:val="21"/>
          <w:szCs w:val="21"/>
          <w:lang w:val="en-US"/>
        </w:rPr>
        <w:t xml:space="preserve"> is the modern version of the Holocaust and the Holodomor in plain sight, where the extermination camp is found in highway accidents, hospital queues, homicides, child malnutrition, or disguised under any other social problem camouflage." — Mattos Neto, Filosofia das </w:t>
      </w:r>
      <w:proofErr w:type="spellStart"/>
      <w:r w:rsidRPr="006D27E0">
        <w:rPr>
          <w:i/>
          <w:iCs/>
          <w:color w:val="666666"/>
          <w:sz w:val="21"/>
          <w:szCs w:val="21"/>
          <w:lang w:val="en-US"/>
        </w:rPr>
        <w:t>Virtudes</w:t>
      </w:r>
      <w:proofErr w:type="spellEnd"/>
      <w:r w:rsidRPr="006D27E0">
        <w:rPr>
          <w:i/>
          <w:iCs/>
          <w:color w:val="666666"/>
          <w:sz w:val="21"/>
          <w:szCs w:val="21"/>
          <w:lang w:val="en-US"/>
        </w:rPr>
        <w:t>, 2023</w:t>
      </w:r>
    </w:p>
    <w:p w14:paraId="0249C743" w14:textId="77777777" w:rsidR="00804D20" w:rsidRPr="006D27E0" w:rsidRDefault="00B968B3">
      <w:pPr>
        <w:pStyle w:val="Heading1"/>
        <w:pBdr>
          <w:bottom w:val="single" w:sz="6" w:space="4" w:color="B8972A"/>
        </w:pBdr>
        <w:rPr>
          <w:lang w:val="en-US"/>
        </w:rPr>
      </w:pPr>
      <w:r w:rsidRPr="006D27E0">
        <w:rPr>
          <w:lang w:val="en-US"/>
        </w:rPr>
        <w:t>Part I — The Holocaust: Legal Architecture of the Death Sentences</w:t>
      </w:r>
    </w:p>
    <w:p w14:paraId="0249C744" w14:textId="77777777" w:rsidR="00804D20" w:rsidRPr="006D27E0" w:rsidRDefault="00B968B3">
      <w:pPr>
        <w:pStyle w:val="Heading2"/>
        <w:rPr>
          <w:lang w:val="en-US"/>
        </w:rPr>
      </w:pPr>
      <w:r w:rsidRPr="006D27E0">
        <w:rPr>
          <w:lang w:val="en-US"/>
        </w:rPr>
        <w:t>1.1  The London Charter — Legal Foundation</w:t>
      </w:r>
    </w:p>
    <w:p w14:paraId="0249C745" w14:textId="77777777" w:rsidR="00804D20" w:rsidRPr="006D27E0" w:rsidRDefault="00B968B3">
      <w:pPr>
        <w:spacing w:before="100" w:after="100"/>
        <w:jc w:val="both"/>
        <w:rPr>
          <w:lang w:val="en-US"/>
        </w:rPr>
      </w:pPr>
      <w:r w:rsidRPr="006D27E0">
        <w:rPr>
          <w:color w:val="3C3C3C"/>
          <w:lang w:val="en-US"/>
        </w:rPr>
        <w:t>The entire juridical machinery of Nuremberg rested on a single instrument: the London Charter of 8 August 1945 (formally, the Charter of the International Military Tribunal), signed by the United States, the United Kingdom, the Soviet Union, and France. Article 6 of the Charter defined three categories of crime subject to trial and punishment, including the death penalty:</w:t>
      </w:r>
    </w:p>
    <w:p w14:paraId="0249C746"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Count 1/2: </w:t>
      </w:r>
      <w:r w:rsidRPr="006D27E0">
        <w:rPr>
          <w:color w:val="3C3C3C"/>
          <w:sz w:val="21"/>
          <w:szCs w:val="21"/>
          <w:lang w:val="en-US"/>
        </w:rPr>
        <w:t>Crimes Against Peace — planning, preparation, initiation, and waging of wars of aggression, or wars in violation of international treaties.</w:t>
      </w:r>
    </w:p>
    <w:p w14:paraId="0249C747"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Count 3: </w:t>
      </w:r>
      <w:r w:rsidRPr="006D27E0">
        <w:rPr>
          <w:color w:val="3C3C3C"/>
          <w:sz w:val="21"/>
          <w:szCs w:val="21"/>
          <w:lang w:val="en-US"/>
        </w:rPr>
        <w:t xml:space="preserve">War Crimes — violations of the laws or customs of war, including murder and ill-treatment of prisoners and civilians, deportation of civilians for forced </w:t>
      </w:r>
      <w:proofErr w:type="spellStart"/>
      <w:r w:rsidRPr="006D27E0">
        <w:rPr>
          <w:color w:val="3C3C3C"/>
          <w:sz w:val="21"/>
          <w:szCs w:val="21"/>
          <w:lang w:val="en-US"/>
        </w:rPr>
        <w:t>labour</w:t>
      </w:r>
      <w:proofErr w:type="spellEnd"/>
      <w:r w:rsidRPr="006D27E0">
        <w:rPr>
          <w:color w:val="3C3C3C"/>
          <w:sz w:val="21"/>
          <w:szCs w:val="21"/>
          <w:lang w:val="en-US"/>
        </w:rPr>
        <w:t>, wanton destruction of cities and villages, and plunder.</w:t>
      </w:r>
    </w:p>
    <w:p w14:paraId="0249C748"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Count 4: </w:t>
      </w:r>
      <w:r w:rsidRPr="006D27E0">
        <w:rPr>
          <w:color w:val="3C3C3C"/>
          <w:sz w:val="21"/>
          <w:szCs w:val="21"/>
          <w:lang w:val="en-US"/>
        </w:rPr>
        <w:t>Crimes Against Humanity — murder, extermination, enslavement, deportation, and other inhumane acts committed against any civilian population, before or during the war; or persecutions on political, racial or religious grounds, whether or not in violation of the domestic law of the country where perpetrated.</w:t>
      </w:r>
    </w:p>
    <w:p w14:paraId="0249C749" w14:textId="77777777" w:rsidR="00804D20" w:rsidRPr="006D27E0" w:rsidRDefault="00B968B3">
      <w:pPr>
        <w:spacing w:before="100" w:after="100"/>
        <w:jc w:val="both"/>
        <w:rPr>
          <w:lang w:val="en-US"/>
        </w:rPr>
      </w:pPr>
      <w:r w:rsidRPr="006D27E0">
        <w:rPr>
          <w:color w:val="3C3C3C"/>
          <w:lang w:val="en-US"/>
        </w:rPr>
        <w:t xml:space="preserve">The Charter also established that leaders, </w:t>
      </w:r>
      <w:proofErr w:type="spellStart"/>
      <w:r w:rsidRPr="006D27E0">
        <w:rPr>
          <w:color w:val="3C3C3C"/>
          <w:lang w:val="en-US"/>
        </w:rPr>
        <w:t>organisers</w:t>
      </w:r>
      <w:proofErr w:type="spellEnd"/>
      <w:r w:rsidRPr="006D27E0">
        <w:rPr>
          <w:color w:val="3C3C3C"/>
          <w:lang w:val="en-US"/>
        </w:rPr>
        <w:t>, instigators, and accomplices participating in the formulation or execution of a common plan or conspiracy to commit any of the foregoing crimes bore responsibility for all acts performed by any persons in execution of such plan. Three of four judges were required for conviction.</w:t>
      </w:r>
    </w:p>
    <w:p w14:paraId="0249C74A" w14:textId="77777777" w:rsidR="00804D20" w:rsidRPr="006D27E0" w:rsidRDefault="00B968B3">
      <w:pPr>
        <w:pStyle w:val="Heading2"/>
        <w:rPr>
          <w:lang w:val="en-US"/>
        </w:rPr>
      </w:pPr>
      <w:r w:rsidRPr="006D27E0">
        <w:rPr>
          <w:lang w:val="en-US"/>
        </w:rPr>
        <w:t>1.2  The Principal Criterion for the Death Penalty</w:t>
      </w:r>
    </w:p>
    <w:p w14:paraId="0249C74B" w14:textId="77777777" w:rsidR="00804D20" w:rsidRPr="006D27E0" w:rsidRDefault="00B968B3">
      <w:pPr>
        <w:spacing w:before="100" w:after="100"/>
        <w:jc w:val="both"/>
        <w:rPr>
          <w:lang w:val="en-US"/>
        </w:rPr>
      </w:pPr>
      <w:r w:rsidRPr="006D27E0">
        <w:rPr>
          <w:color w:val="3C3C3C"/>
          <w:lang w:val="en-US"/>
        </w:rPr>
        <w:t xml:space="preserve">The Charter defined the crimes but did not specify an explicit threshold between death and imprisonment. Analysis of the verdict reveals that the operative criterion applied by the judges was proximity to mass murder. Those who directly designed, ordered, administered, or were </w:t>
      </w:r>
      <w:r w:rsidRPr="006D27E0">
        <w:rPr>
          <w:color w:val="3C3C3C"/>
          <w:lang w:val="en-US"/>
        </w:rPr>
        <w:lastRenderedPageBreak/>
        <w:t>organically embedded in the machinery of extermination were sentenced to death. Those who played supporting, peripheral, or mitigated roles received imprisonment.</w:t>
      </w:r>
    </w:p>
    <w:p w14:paraId="0249C74C" w14:textId="77777777" w:rsidR="00804D20" w:rsidRPr="006D27E0" w:rsidRDefault="00B968B3">
      <w:pPr>
        <w:spacing w:before="100" w:after="100"/>
        <w:jc w:val="both"/>
        <w:rPr>
          <w:lang w:val="en-US"/>
        </w:rPr>
      </w:pPr>
      <w:r w:rsidRPr="006D27E0">
        <w:rPr>
          <w:color w:val="3C3C3C"/>
          <w:lang w:val="en-US"/>
        </w:rPr>
        <w:t>The IMT declared the crime of plotting and waging aggressive war the 'supreme international crime' because 'it contains within itself the accumulated evil of the whole.' Yet even this finding did not automatically produce a death sentence: defendants convicted only of Crimes Against Peace but whose individual conduct was less proximate to mass killing received prison terms rather than execution. The death sentence required personal proximity to the industrial-scale killing apparatus.</w:t>
      </w:r>
    </w:p>
    <w:p w14:paraId="0249C74D" w14:textId="77777777" w:rsidR="00804D20" w:rsidRPr="006D27E0" w:rsidRDefault="00B968B3">
      <w:pPr>
        <w:pStyle w:val="Heading2"/>
        <w:rPr>
          <w:lang w:val="en-US"/>
        </w:rPr>
      </w:pPr>
      <w:r w:rsidRPr="006D27E0">
        <w:rPr>
          <w:lang w:val="en-US"/>
        </w:rPr>
        <w:t>1.3  The Twelve Death Sentences — and Three Acquittals</w:t>
      </w:r>
    </w:p>
    <w:p w14:paraId="0249C74E" w14:textId="77777777" w:rsidR="00804D20" w:rsidRPr="006D27E0" w:rsidRDefault="00B968B3">
      <w:pPr>
        <w:spacing w:before="100" w:after="100"/>
        <w:jc w:val="both"/>
        <w:rPr>
          <w:lang w:val="en-US"/>
        </w:rPr>
      </w:pPr>
      <w:r w:rsidRPr="006D27E0">
        <w:rPr>
          <w:color w:val="3C3C3C"/>
          <w:lang w:val="en-US"/>
        </w:rPr>
        <w:t>The following comparative table sets out all 22 defendants, the charges on which they were convicted, and their sentence, together with the principal factual basis for the capital sentences.</w:t>
      </w:r>
    </w:p>
    <w:p w14:paraId="0249C74F" w14:textId="77777777" w:rsidR="00804D20" w:rsidRPr="006D27E0" w:rsidRDefault="00804D20">
      <w:pPr>
        <w:spacing w:before="120" w:after="12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800"/>
        <w:gridCol w:w="1800"/>
        <w:gridCol w:w="3560"/>
      </w:tblGrid>
      <w:tr w:rsidR="00804D20" w:rsidRPr="006D27E0" w14:paraId="0249C754"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750" w14:textId="77777777" w:rsidR="00804D20" w:rsidRDefault="00B968B3">
            <w:pPr>
              <w:spacing w:before="40" w:after="40"/>
              <w:jc w:val="center"/>
            </w:pPr>
            <w:proofErr w:type="spellStart"/>
            <w:r>
              <w:rPr>
                <w:b/>
                <w:bCs/>
                <w:color w:val="FFFFFF"/>
                <w:sz w:val="20"/>
                <w:szCs w:val="20"/>
              </w:rPr>
              <w:t>Defendant</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751" w14:textId="77777777" w:rsidR="00804D20" w:rsidRDefault="00B968B3">
            <w:pPr>
              <w:spacing w:before="40" w:after="40"/>
              <w:jc w:val="center"/>
            </w:pPr>
            <w:r>
              <w:rPr>
                <w:b/>
                <w:bCs/>
                <w:color w:val="FFFFFF"/>
                <w:sz w:val="20"/>
                <w:szCs w:val="20"/>
              </w:rPr>
              <w:t>Role</w:t>
            </w:r>
          </w:p>
        </w:tc>
        <w:tc>
          <w:tcPr>
            <w:tcW w:w="180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752" w14:textId="77777777" w:rsidR="00804D20" w:rsidRDefault="00B968B3">
            <w:pPr>
              <w:spacing w:before="40" w:after="40"/>
              <w:jc w:val="center"/>
            </w:pPr>
            <w:proofErr w:type="spellStart"/>
            <w:r>
              <w:rPr>
                <w:b/>
                <w:bCs/>
                <w:color w:val="FFFFFF"/>
                <w:sz w:val="20"/>
                <w:szCs w:val="20"/>
              </w:rPr>
              <w:t>Sentence</w:t>
            </w:r>
            <w:proofErr w:type="spellEnd"/>
          </w:p>
        </w:tc>
        <w:tc>
          <w:tcPr>
            <w:tcW w:w="356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753" w14:textId="77777777" w:rsidR="00804D20" w:rsidRPr="006D27E0" w:rsidRDefault="00B968B3">
            <w:pPr>
              <w:spacing w:before="40" w:after="40"/>
              <w:jc w:val="center"/>
              <w:rPr>
                <w:lang w:val="en-US"/>
              </w:rPr>
            </w:pPr>
            <w:r w:rsidRPr="006D27E0">
              <w:rPr>
                <w:b/>
                <w:bCs/>
                <w:color w:val="FFFFFF"/>
                <w:sz w:val="20"/>
                <w:szCs w:val="20"/>
                <w:lang w:val="en-US"/>
              </w:rPr>
              <w:t>Primary Basis for Death Sentence</w:t>
            </w:r>
          </w:p>
        </w:tc>
      </w:tr>
      <w:tr w:rsidR="00804D20" w:rsidRPr="006D27E0" w14:paraId="0249C75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55" w14:textId="77777777" w:rsidR="00804D20" w:rsidRDefault="00B968B3">
            <w:pPr>
              <w:spacing w:before="40" w:after="40"/>
            </w:pPr>
            <w:r>
              <w:rPr>
                <w:color w:val="3C3C3C"/>
                <w:sz w:val="19"/>
                <w:szCs w:val="19"/>
              </w:rPr>
              <w:t>Ribbentrop, Joachim von</w:t>
            </w:r>
          </w:p>
        </w:tc>
        <w:tc>
          <w:tcPr>
            <w:tcW w:w="18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56" w14:textId="77777777" w:rsidR="00804D20" w:rsidRDefault="00B968B3">
            <w:pPr>
              <w:spacing w:before="40" w:after="40"/>
            </w:pPr>
            <w:r>
              <w:rPr>
                <w:color w:val="3C3C3C"/>
                <w:sz w:val="19"/>
                <w:szCs w:val="19"/>
              </w:rPr>
              <w:t>Foreign Minister</w:t>
            </w:r>
          </w:p>
        </w:tc>
        <w:tc>
          <w:tcPr>
            <w:tcW w:w="1800" w:type="dxa"/>
            <w:tcBorders>
              <w:top w:val="single" w:sz="1" w:space="0" w:color="CCCCCC"/>
              <w:left w:val="single" w:sz="1" w:space="0" w:color="CCCCCC"/>
              <w:bottom w:val="single" w:sz="1" w:space="0" w:color="CCCCCC"/>
              <w:right w:val="single" w:sz="1" w:space="0" w:color="CCCCCC"/>
            </w:tcBorders>
            <w:shd w:val="clear" w:color="auto" w:fill="8B1A1A"/>
            <w:tcMar>
              <w:top w:w="80" w:type="dxa"/>
              <w:left w:w="120" w:type="dxa"/>
              <w:bottom w:w="80" w:type="dxa"/>
              <w:right w:w="120" w:type="dxa"/>
            </w:tcMar>
          </w:tcPr>
          <w:p w14:paraId="0249C757" w14:textId="77777777" w:rsidR="00804D20" w:rsidRDefault="00B968B3">
            <w:pPr>
              <w:spacing w:before="40" w:after="40"/>
            </w:pPr>
            <w:r>
              <w:rPr>
                <w:b/>
                <w:bCs/>
                <w:color w:val="FFFFFF"/>
                <w:sz w:val="19"/>
                <w:szCs w:val="19"/>
              </w:rPr>
              <w:t>DEATH</w:t>
            </w:r>
          </w:p>
        </w:tc>
        <w:tc>
          <w:tcPr>
            <w:tcW w:w="35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58" w14:textId="77777777" w:rsidR="00804D20" w:rsidRPr="006D27E0" w:rsidRDefault="00B968B3">
            <w:pPr>
              <w:spacing w:before="40" w:after="40"/>
              <w:rPr>
                <w:lang w:val="en-US"/>
              </w:rPr>
            </w:pPr>
            <w:r w:rsidRPr="006D27E0">
              <w:rPr>
                <w:color w:val="3C3C3C"/>
                <w:sz w:val="19"/>
                <w:szCs w:val="19"/>
                <w:lang w:val="en-US"/>
              </w:rPr>
              <w:t>Conspiracy to wage aggressive war; facilitated deportation of Jews across occupied Europe.</w:t>
            </w:r>
          </w:p>
        </w:tc>
      </w:tr>
      <w:tr w:rsidR="00804D20" w:rsidRPr="006D27E0" w14:paraId="0249C75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5A" w14:textId="77777777" w:rsidR="00804D20" w:rsidRDefault="00B968B3">
            <w:pPr>
              <w:spacing w:before="40" w:after="40"/>
            </w:pPr>
            <w:r>
              <w:rPr>
                <w:color w:val="3C3C3C"/>
                <w:sz w:val="19"/>
                <w:szCs w:val="19"/>
              </w:rPr>
              <w:t>Keitel, Wilhelm</w:t>
            </w:r>
          </w:p>
        </w:tc>
        <w:tc>
          <w:tcPr>
            <w:tcW w:w="18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5B" w14:textId="77777777" w:rsidR="00804D20" w:rsidRDefault="00B968B3">
            <w:pPr>
              <w:spacing w:before="40" w:after="40"/>
            </w:pPr>
            <w:r>
              <w:rPr>
                <w:color w:val="3C3C3C"/>
                <w:sz w:val="19"/>
                <w:szCs w:val="19"/>
              </w:rPr>
              <w:t>Chief, OKW</w:t>
            </w:r>
          </w:p>
        </w:tc>
        <w:tc>
          <w:tcPr>
            <w:tcW w:w="1800" w:type="dxa"/>
            <w:tcBorders>
              <w:top w:val="single" w:sz="1" w:space="0" w:color="CCCCCC"/>
              <w:left w:val="single" w:sz="1" w:space="0" w:color="CCCCCC"/>
              <w:bottom w:val="single" w:sz="1" w:space="0" w:color="CCCCCC"/>
              <w:right w:val="single" w:sz="1" w:space="0" w:color="CCCCCC"/>
            </w:tcBorders>
            <w:shd w:val="clear" w:color="auto" w:fill="8B1A1A"/>
            <w:tcMar>
              <w:top w:w="80" w:type="dxa"/>
              <w:left w:w="120" w:type="dxa"/>
              <w:bottom w:w="80" w:type="dxa"/>
              <w:right w:w="120" w:type="dxa"/>
            </w:tcMar>
          </w:tcPr>
          <w:p w14:paraId="0249C75C" w14:textId="77777777" w:rsidR="00804D20" w:rsidRDefault="00B968B3">
            <w:pPr>
              <w:spacing w:before="40" w:after="40"/>
            </w:pPr>
            <w:r>
              <w:rPr>
                <w:b/>
                <w:bCs/>
                <w:color w:val="FFFFFF"/>
                <w:sz w:val="19"/>
                <w:szCs w:val="19"/>
              </w:rPr>
              <w:t>DEATH</w:t>
            </w:r>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5D" w14:textId="77777777" w:rsidR="00804D20" w:rsidRPr="006D27E0" w:rsidRDefault="00B968B3">
            <w:pPr>
              <w:spacing w:before="40" w:after="40"/>
              <w:rPr>
                <w:lang w:val="en-US"/>
              </w:rPr>
            </w:pPr>
            <w:r w:rsidRPr="006D27E0">
              <w:rPr>
                <w:color w:val="3C3C3C"/>
                <w:sz w:val="19"/>
                <w:szCs w:val="19"/>
                <w:lang w:val="en-US"/>
              </w:rPr>
              <w:t>Signed orders for execution of commandos, commissars, and hostages; directly transmitted extermination orders.</w:t>
            </w:r>
          </w:p>
        </w:tc>
      </w:tr>
      <w:tr w:rsidR="00804D20" w:rsidRPr="006D27E0" w14:paraId="0249C76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5F" w14:textId="77777777" w:rsidR="00804D20" w:rsidRDefault="00B968B3">
            <w:pPr>
              <w:spacing w:before="40" w:after="40"/>
            </w:pPr>
            <w:r>
              <w:rPr>
                <w:color w:val="3C3C3C"/>
                <w:sz w:val="19"/>
                <w:szCs w:val="19"/>
              </w:rPr>
              <w:t>Kaltenbrunner, Ernst</w:t>
            </w:r>
          </w:p>
        </w:tc>
        <w:tc>
          <w:tcPr>
            <w:tcW w:w="18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60" w14:textId="77777777" w:rsidR="00804D20" w:rsidRDefault="00B968B3">
            <w:pPr>
              <w:spacing w:before="40" w:after="40"/>
            </w:pPr>
            <w:r>
              <w:rPr>
                <w:color w:val="3C3C3C"/>
                <w:sz w:val="19"/>
                <w:szCs w:val="19"/>
              </w:rPr>
              <w:t>Head of RSHA / SS</w:t>
            </w:r>
          </w:p>
        </w:tc>
        <w:tc>
          <w:tcPr>
            <w:tcW w:w="1800" w:type="dxa"/>
            <w:tcBorders>
              <w:top w:val="single" w:sz="1" w:space="0" w:color="CCCCCC"/>
              <w:left w:val="single" w:sz="1" w:space="0" w:color="CCCCCC"/>
              <w:bottom w:val="single" w:sz="1" w:space="0" w:color="CCCCCC"/>
              <w:right w:val="single" w:sz="1" w:space="0" w:color="CCCCCC"/>
            </w:tcBorders>
            <w:shd w:val="clear" w:color="auto" w:fill="8B1A1A"/>
            <w:tcMar>
              <w:top w:w="80" w:type="dxa"/>
              <w:left w:w="120" w:type="dxa"/>
              <w:bottom w:w="80" w:type="dxa"/>
              <w:right w:w="120" w:type="dxa"/>
            </w:tcMar>
          </w:tcPr>
          <w:p w14:paraId="0249C761" w14:textId="77777777" w:rsidR="00804D20" w:rsidRDefault="00B968B3">
            <w:pPr>
              <w:spacing w:before="40" w:after="40"/>
            </w:pPr>
            <w:r>
              <w:rPr>
                <w:b/>
                <w:bCs/>
                <w:color w:val="FFFFFF"/>
                <w:sz w:val="19"/>
                <w:szCs w:val="19"/>
              </w:rPr>
              <w:t>DEATH</w:t>
            </w:r>
          </w:p>
        </w:tc>
        <w:tc>
          <w:tcPr>
            <w:tcW w:w="35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62" w14:textId="77777777" w:rsidR="00804D20" w:rsidRPr="006D27E0" w:rsidRDefault="00B968B3">
            <w:pPr>
              <w:spacing w:before="40" w:after="40"/>
              <w:rPr>
                <w:lang w:val="en-US"/>
              </w:rPr>
            </w:pPr>
            <w:r w:rsidRPr="006D27E0">
              <w:rPr>
                <w:color w:val="3C3C3C"/>
                <w:sz w:val="19"/>
                <w:szCs w:val="19"/>
                <w:lang w:val="en-US"/>
              </w:rPr>
              <w:t>Direct command over Gestapo, SD, and concentration camp apparatus; closest surviving link to Final Solution machinery.</w:t>
            </w:r>
          </w:p>
        </w:tc>
      </w:tr>
      <w:tr w:rsidR="00804D20" w:rsidRPr="006D27E0" w14:paraId="0249C76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64" w14:textId="77777777" w:rsidR="00804D20" w:rsidRDefault="00B968B3">
            <w:pPr>
              <w:spacing w:before="40" w:after="40"/>
            </w:pPr>
            <w:r>
              <w:rPr>
                <w:color w:val="3C3C3C"/>
                <w:sz w:val="19"/>
                <w:szCs w:val="19"/>
              </w:rPr>
              <w:t>Rosenberg, Alfred</w:t>
            </w:r>
          </w:p>
        </w:tc>
        <w:tc>
          <w:tcPr>
            <w:tcW w:w="18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65" w14:textId="77777777" w:rsidR="00804D20" w:rsidRDefault="00B968B3">
            <w:pPr>
              <w:spacing w:before="40" w:after="40"/>
            </w:pPr>
            <w:r w:rsidRPr="006D27E0">
              <w:rPr>
                <w:color w:val="3C3C3C"/>
                <w:sz w:val="19"/>
                <w:szCs w:val="19"/>
                <w:lang w:val="en-US"/>
              </w:rPr>
              <w:t xml:space="preserve">Reich Minister for Eastern Occ. </w:t>
            </w:r>
            <w:proofErr w:type="spellStart"/>
            <w:r>
              <w:rPr>
                <w:color w:val="3C3C3C"/>
                <w:sz w:val="19"/>
                <w:szCs w:val="19"/>
              </w:rPr>
              <w:t>Territories</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8B1A1A"/>
            <w:tcMar>
              <w:top w:w="80" w:type="dxa"/>
              <w:left w:w="120" w:type="dxa"/>
              <w:bottom w:w="80" w:type="dxa"/>
              <w:right w:w="120" w:type="dxa"/>
            </w:tcMar>
          </w:tcPr>
          <w:p w14:paraId="0249C766" w14:textId="77777777" w:rsidR="00804D20" w:rsidRDefault="00B968B3">
            <w:pPr>
              <w:spacing w:before="40" w:after="40"/>
            </w:pPr>
            <w:r>
              <w:rPr>
                <w:b/>
                <w:bCs/>
                <w:color w:val="FFFFFF"/>
                <w:sz w:val="19"/>
                <w:szCs w:val="19"/>
              </w:rPr>
              <w:t>DEATH</w:t>
            </w:r>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67" w14:textId="77777777" w:rsidR="00804D20" w:rsidRPr="006D27E0" w:rsidRDefault="00B968B3">
            <w:pPr>
              <w:spacing w:before="40" w:after="40"/>
              <w:rPr>
                <w:lang w:val="en-US"/>
              </w:rPr>
            </w:pPr>
            <w:proofErr w:type="spellStart"/>
            <w:r w:rsidRPr="006D27E0">
              <w:rPr>
                <w:color w:val="3C3C3C"/>
                <w:sz w:val="19"/>
                <w:szCs w:val="19"/>
                <w:lang w:val="en-US"/>
              </w:rPr>
              <w:t>Organised</w:t>
            </w:r>
            <w:proofErr w:type="spellEnd"/>
            <w:r w:rsidRPr="006D27E0">
              <w:rPr>
                <w:color w:val="3C3C3C"/>
                <w:sz w:val="19"/>
                <w:szCs w:val="19"/>
                <w:lang w:val="en-US"/>
              </w:rPr>
              <w:t xml:space="preserve"> and oversaw mass murder and slave </w:t>
            </w:r>
            <w:proofErr w:type="spellStart"/>
            <w:r w:rsidRPr="006D27E0">
              <w:rPr>
                <w:color w:val="3C3C3C"/>
                <w:sz w:val="19"/>
                <w:szCs w:val="19"/>
                <w:lang w:val="en-US"/>
              </w:rPr>
              <w:t>labour</w:t>
            </w:r>
            <w:proofErr w:type="spellEnd"/>
            <w:r w:rsidRPr="006D27E0">
              <w:rPr>
                <w:color w:val="3C3C3C"/>
                <w:sz w:val="19"/>
                <w:szCs w:val="19"/>
                <w:lang w:val="en-US"/>
              </w:rPr>
              <w:t xml:space="preserve"> in the East; ideological architect of racial extermination.</w:t>
            </w:r>
          </w:p>
        </w:tc>
      </w:tr>
      <w:tr w:rsidR="00804D20" w:rsidRPr="006D27E0" w14:paraId="0249C76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69" w14:textId="77777777" w:rsidR="00804D20" w:rsidRDefault="00B968B3">
            <w:pPr>
              <w:spacing w:before="40" w:after="40"/>
            </w:pPr>
            <w:r>
              <w:rPr>
                <w:color w:val="3C3C3C"/>
                <w:sz w:val="19"/>
                <w:szCs w:val="19"/>
              </w:rPr>
              <w:t>Frank, Hans</w:t>
            </w:r>
          </w:p>
        </w:tc>
        <w:tc>
          <w:tcPr>
            <w:tcW w:w="18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6A" w14:textId="77777777" w:rsidR="00804D20" w:rsidRDefault="00B968B3">
            <w:pPr>
              <w:spacing w:before="40" w:after="40"/>
            </w:pPr>
            <w:r>
              <w:rPr>
                <w:color w:val="3C3C3C"/>
                <w:sz w:val="19"/>
                <w:szCs w:val="19"/>
              </w:rPr>
              <w:t>Governor-General, Poland</w:t>
            </w:r>
          </w:p>
        </w:tc>
        <w:tc>
          <w:tcPr>
            <w:tcW w:w="1800" w:type="dxa"/>
            <w:tcBorders>
              <w:top w:val="single" w:sz="1" w:space="0" w:color="CCCCCC"/>
              <w:left w:val="single" w:sz="1" w:space="0" w:color="CCCCCC"/>
              <w:bottom w:val="single" w:sz="1" w:space="0" w:color="CCCCCC"/>
              <w:right w:val="single" w:sz="1" w:space="0" w:color="CCCCCC"/>
            </w:tcBorders>
            <w:shd w:val="clear" w:color="auto" w:fill="8B1A1A"/>
            <w:tcMar>
              <w:top w:w="80" w:type="dxa"/>
              <w:left w:w="120" w:type="dxa"/>
              <w:bottom w:w="80" w:type="dxa"/>
              <w:right w:w="120" w:type="dxa"/>
            </w:tcMar>
          </w:tcPr>
          <w:p w14:paraId="0249C76B" w14:textId="77777777" w:rsidR="00804D20" w:rsidRDefault="00B968B3">
            <w:pPr>
              <w:spacing w:before="40" w:after="40"/>
            </w:pPr>
            <w:r>
              <w:rPr>
                <w:b/>
                <w:bCs/>
                <w:color w:val="FFFFFF"/>
                <w:sz w:val="19"/>
                <w:szCs w:val="19"/>
              </w:rPr>
              <w:t>DEATH</w:t>
            </w:r>
          </w:p>
        </w:tc>
        <w:tc>
          <w:tcPr>
            <w:tcW w:w="35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6C" w14:textId="77777777" w:rsidR="00804D20" w:rsidRPr="006D27E0" w:rsidRDefault="00B968B3">
            <w:pPr>
              <w:spacing w:before="40" w:after="40"/>
              <w:rPr>
                <w:lang w:val="en-US"/>
              </w:rPr>
            </w:pPr>
            <w:r w:rsidRPr="006D27E0">
              <w:rPr>
                <w:color w:val="3C3C3C"/>
                <w:sz w:val="19"/>
                <w:szCs w:val="19"/>
                <w:lang w:val="en-US"/>
              </w:rPr>
              <w:t>Administered occupied Poland during the destruction of Polish Jews; personally oversaw starvation and extermination.</w:t>
            </w:r>
          </w:p>
        </w:tc>
      </w:tr>
      <w:tr w:rsidR="00804D20" w:rsidRPr="006D27E0" w14:paraId="0249C77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6E" w14:textId="77777777" w:rsidR="00804D20" w:rsidRDefault="00B968B3">
            <w:pPr>
              <w:spacing w:before="40" w:after="40"/>
            </w:pPr>
            <w:r>
              <w:rPr>
                <w:color w:val="3C3C3C"/>
                <w:sz w:val="19"/>
                <w:szCs w:val="19"/>
              </w:rPr>
              <w:t>Frick, Wilhelm</w:t>
            </w:r>
          </w:p>
        </w:tc>
        <w:tc>
          <w:tcPr>
            <w:tcW w:w="18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6F" w14:textId="77777777" w:rsidR="00804D20" w:rsidRDefault="00B968B3">
            <w:pPr>
              <w:spacing w:before="40" w:after="40"/>
            </w:pPr>
            <w:r>
              <w:rPr>
                <w:color w:val="3C3C3C"/>
                <w:sz w:val="19"/>
                <w:szCs w:val="19"/>
              </w:rPr>
              <w:t xml:space="preserve">Reich Minister of </w:t>
            </w:r>
            <w:proofErr w:type="spellStart"/>
            <w:r>
              <w:rPr>
                <w:color w:val="3C3C3C"/>
                <w:sz w:val="19"/>
                <w:szCs w:val="19"/>
              </w:rPr>
              <w:t>Interior</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8B1A1A"/>
            <w:tcMar>
              <w:top w:w="80" w:type="dxa"/>
              <w:left w:w="120" w:type="dxa"/>
              <w:bottom w:w="80" w:type="dxa"/>
              <w:right w:w="120" w:type="dxa"/>
            </w:tcMar>
          </w:tcPr>
          <w:p w14:paraId="0249C770" w14:textId="77777777" w:rsidR="00804D20" w:rsidRDefault="00B968B3">
            <w:pPr>
              <w:spacing w:before="40" w:after="40"/>
            </w:pPr>
            <w:r>
              <w:rPr>
                <w:b/>
                <w:bCs/>
                <w:color w:val="FFFFFF"/>
                <w:sz w:val="19"/>
                <w:szCs w:val="19"/>
              </w:rPr>
              <w:t>DEATH</w:t>
            </w:r>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71" w14:textId="77777777" w:rsidR="00804D20" w:rsidRPr="006D27E0" w:rsidRDefault="00B968B3">
            <w:pPr>
              <w:spacing w:before="40" w:after="40"/>
              <w:rPr>
                <w:lang w:val="en-US"/>
              </w:rPr>
            </w:pPr>
            <w:r w:rsidRPr="006D27E0">
              <w:rPr>
                <w:color w:val="3C3C3C"/>
                <w:sz w:val="19"/>
                <w:szCs w:val="19"/>
                <w:lang w:val="en-US"/>
              </w:rPr>
              <w:t>Enacted the Nuremberg Race Laws; administered the legal framework enabling extermination.</w:t>
            </w:r>
          </w:p>
        </w:tc>
      </w:tr>
      <w:tr w:rsidR="00804D20" w:rsidRPr="006D27E0" w14:paraId="0249C77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73" w14:textId="77777777" w:rsidR="00804D20" w:rsidRDefault="00B968B3">
            <w:pPr>
              <w:spacing w:before="40" w:after="40"/>
            </w:pPr>
            <w:r>
              <w:rPr>
                <w:color w:val="3C3C3C"/>
                <w:sz w:val="19"/>
                <w:szCs w:val="19"/>
              </w:rPr>
              <w:t>Streicher, Julius</w:t>
            </w:r>
          </w:p>
        </w:tc>
        <w:tc>
          <w:tcPr>
            <w:tcW w:w="18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74" w14:textId="77777777" w:rsidR="00804D20" w:rsidRDefault="00B968B3">
            <w:pPr>
              <w:spacing w:before="40" w:after="40"/>
            </w:pPr>
            <w:r>
              <w:rPr>
                <w:color w:val="3C3C3C"/>
                <w:sz w:val="19"/>
                <w:szCs w:val="19"/>
              </w:rPr>
              <w:t xml:space="preserve">Gauleiter; editor Der </w:t>
            </w:r>
            <w:proofErr w:type="spellStart"/>
            <w:r>
              <w:rPr>
                <w:color w:val="3C3C3C"/>
                <w:sz w:val="19"/>
                <w:szCs w:val="19"/>
              </w:rPr>
              <w:t>Stürmer</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8B1A1A"/>
            <w:tcMar>
              <w:top w:w="80" w:type="dxa"/>
              <w:left w:w="120" w:type="dxa"/>
              <w:bottom w:w="80" w:type="dxa"/>
              <w:right w:w="120" w:type="dxa"/>
            </w:tcMar>
          </w:tcPr>
          <w:p w14:paraId="0249C775" w14:textId="77777777" w:rsidR="00804D20" w:rsidRDefault="00B968B3">
            <w:pPr>
              <w:spacing w:before="40" w:after="40"/>
            </w:pPr>
            <w:r>
              <w:rPr>
                <w:b/>
                <w:bCs/>
                <w:color w:val="FFFFFF"/>
                <w:sz w:val="19"/>
                <w:szCs w:val="19"/>
              </w:rPr>
              <w:t>DEATH</w:t>
            </w:r>
          </w:p>
        </w:tc>
        <w:tc>
          <w:tcPr>
            <w:tcW w:w="35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76" w14:textId="77777777" w:rsidR="00804D20" w:rsidRPr="006D27E0" w:rsidRDefault="00B968B3">
            <w:pPr>
              <w:spacing w:before="40" w:after="40"/>
              <w:rPr>
                <w:lang w:val="en-US"/>
              </w:rPr>
            </w:pPr>
            <w:r w:rsidRPr="006D27E0">
              <w:rPr>
                <w:color w:val="3C3C3C"/>
                <w:sz w:val="19"/>
                <w:szCs w:val="19"/>
                <w:lang w:val="en-US"/>
              </w:rPr>
              <w:t>Decades of incitement to genocide through virulent anti-Semitic propaganda; direct incitement constituted Crime Against Humanity.</w:t>
            </w:r>
          </w:p>
        </w:tc>
      </w:tr>
      <w:tr w:rsidR="00804D20" w:rsidRPr="006D27E0" w14:paraId="0249C77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78" w14:textId="77777777" w:rsidR="00804D20" w:rsidRDefault="00B968B3">
            <w:pPr>
              <w:spacing w:before="40" w:after="40"/>
            </w:pPr>
            <w:proofErr w:type="spellStart"/>
            <w:r>
              <w:rPr>
                <w:color w:val="3C3C3C"/>
                <w:sz w:val="19"/>
                <w:szCs w:val="19"/>
              </w:rPr>
              <w:t>Sauckel</w:t>
            </w:r>
            <w:proofErr w:type="spellEnd"/>
            <w:r>
              <w:rPr>
                <w:color w:val="3C3C3C"/>
                <w:sz w:val="19"/>
                <w:szCs w:val="19"/>
              </w:rPr>
              <w:t>, Fritz</w:t>
            </w:r>
          </w:p>
        </w:tc>
        <w:tc>
          <w:tcPr>
            <w:tcW w:w="18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79" w14:textId="77777777" w:rsidR="00804D20" w:rsidRDefault="00B968B3">
            <w:pPr>
              <w:spacing w:before="40" w:after="40"/>
            </w:pPr>
            <w:proofErr w:type="spellStart"/>
            <w:r>
              <w:rPr>
                <w:color w:val="3C3C3C"/>
                <w:sz w:val="19"/>
                <w:szCs w:val="19"/>
              </w:rPr>
              <w:t>Plenipotentiary</w:t>
            </w:r>
            <w:proofErr w:type="spellEnd"/>
            <w:r>
              <w:rPr>
                <w:color w:val="3C3C3C"/>
                <w:sz w:val="19"/>
                <w:szCs w:val="19"/>
              </w:rPr>
              <w:t xml:space="preserve"> for Labour Deployment</w:t>
            </w:r>
          </w:p>
        </w:tc>
        <w:tc>
          <w:tcPr>
            <w:tcW w:w="1800" w:type="dxa"/>
            <w:tcBorders>
              <w:top w:val="single" w:sz="1" w:space="0" w:color="CCCCCC"/>
              <w:left w:val="single" w:sz="1" w:space="0" w:color="CCCCCC"/>
              <w:bottom w:val="single" w:sz="1" w:space="0" w:color="CCCCCC"/>
              <w:right w:val="single" w:sz="1" w:space="0" w:color="CCCCCC"/>
            </w:tcBorders>
            <w:shd w:val="clear" w:color="auto" w:fill="8B1A1A"/>
            <w:tcMar>
              <w:top w:w="80" w:type="dxa"/>
              <w:left w:w="120" w:type="dxa"/>
              <w:bottom w:w="80" w:type="dxa"/>
              <w:right w:w="120" w:type="dxa"/>
            </w:tcMar>
          </w:tcPr>
          <w:p w14:paraId="0249C77A" w14:textId="77777777" w:rsidR="00804D20" w:rsidRDefault="00B968B3">
            <w:pPr>
              <w:spacing w:before="40" w:after="40"/>
            </w:pPr>
            <w:r>
              <w:rPr>
                <w:b/>
                <w:bCs/>
                <w:color w:val="FFFFFF"/>
                <w:sz w:val="19"/>
                <w:szCs w:val="19"/>
              </w:rPr>
              <w:t>DEATH</w:t>
            </w:r>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7B" w14:textId="77777777" w:rsidR="00804D20" w:rsidRPr="006D27E0" w:rsidRDefault="00B968B3">
            <w:pPr>
              <w:spacing w:before="40" w:after="40"/>
              <w:rPr>
                <w:lang w:val="en-US"/>
              </w:rPr>
            </w:pPr>
            <w:proofErr w:type="spellStart"/>
            <w:r w:rsidRPr="006D27E0">
              <w:rPr>
                <w:color w:val="3C3C3C"/>
                <w:sz w:val="19"/>
                <w:szCs w:val="19"/>
                <w:lang w:val="en-US"/>
              </w:rPr>
              <w:t>Organised</w:t>
            </w:r>
            <w:proofErr w:type="spellEnd"/>
            <w:r w:rsidRPr="006D27E0">
              <w:rPr>
                <w:color w:val="3C3C3C"/>
                <w:sz w:val="19"/>
                <w:szCs w:val="19"/>
                <w:lang w:val="en-US"/>
              </w:rPr>
              <w:t xml:space="preserve"> and ran the largest forced </w:t>
            </w:r>
            <w:proofErr w:type="spellStart"/>
            <w:r w:rsidRPr="006D27E0">
              <w:rPr>
                <w:color w:val="3C3C3C"/>
                <w:sz w:val="19"/>
                <w:szCs w:val="19"/>
                <w:lang w:val="en-US"/>
              </w:rPr>
              <w:t>labour</w:t>
            </w:r>
            <w:proofErr w:type="spellEnd"/>
            <w:r w:rsidRPr="006D27E0">
              <w:rPr>
                <w:color w:val="3C3C3C"/>
                <w:sz w:val="19"/>
                <w:szCs w:val="19"/>
                <w:lang w:val="en-US"/>
              </w:rPr>
              <w:t xml:space="preserve"> </w:t>
            </w:r>
            <w:proofErr w:type="spellStart"/>
            <w:r w:rsidRPr="006D27E0">
              <w:rPr>
                <w:color w:val="3C3C3C"/>
                <w:sz w:val="19"/>
                <w:szCs w:val="19"/>
                <w:lang w:val="en-US"/>
              </w:rPr>
              <w:t>programme</w:t>
            </w:r>
            <w:proofErr w:type="spellEnd"/>
            <w:r w:rsidRPr="006D27E0">
              <w:rPr>
                <w:color w:val="3C3C3C"/>
                <w:sz w:val="19"/>
                <w:szCs w:val="19"/>
                <w:lang w:val="en-US"/>
              </w:rPr>
              <w:t xml:space="preserve"> in history; directly </w:t>
            </w:r>
            <w:r w:rsidRPr="006D27E0">
              <w:rPr>
                <w:color w:val="3C3C3C"/>
                <w:sz w:val="19"/>
                <w:szCs w:val="19"/>
                <w:lang w:val="en-US"/>
              </w:rPr>
              <w:lastRenderedPageBreak/>
              <w:t>responsible for deportation and death of millions.</w:t>
            </w:r>
          </w:p>
        </w:tc>
      </w:tr>
      <w:tr w:rsidR="00804D20" w:rsidRPr="006D27E0" w14:paraId="0249C78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7D" w14:textId="77777777" w:rsidR="00804D20" w:rsidRDefault="00B968B3">
            <w:pPr>
              <w:spacing w:before="40" w:after="40"/>
            </w:pPr>
            <w:r>
              <w:rPr>
                <w:color w:val="3C3C3C"/>
                <w:sz w:val="19"/>
                <w:szCs w:val="19"/>
              </w:rPr>
              <w:lastRenderedPageBreak/>
              <w:t>Jodl, Alfred</w:t>
            </w:r>
          </w:p>
        </w:tc>
        <w:tc>
          <w:tcPr>
            <w:tcW w:w="18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7E" w14:textId="77777777" w:rsidR="00804D20" w:rsidRPr="006D27E0" w:rsidRDefault="00B968B3">
            <w:pPr>
              <w:spacing w:before="40" w:after="40"/>
              <w:rPr>
                <w:lang w:val="en-US"/>
              </w:rPr>
            </w:pPr>
            <w:r w:rsidRPr="006D27E0">
              <w:rPr>
                <w:color w:val="3C3C3C"/>
                <w:sz w:val="19"/>
                <w:szCs w:val="19"/>
                <w:lang w:val="en-US"/>
              </w:rPr>
              <w:t>Chief of OKW Operations Staff</w:t>
            </w:r>
          </w:p>
        </w:tc>
        <w:tc>
          <w:tcPr>
            <w:tcW w:w="1800" w:type="dxa"/>
            <w:tcBorders>
              <w:top w:val="single" w:sz="1" w:space="0" w:color="CCCCCC"/>
              <w:left w:val="single" w:sz="1" w:space="0" w:color="CCCCCC"/>
              <w:bottom w:val="single" w:sz="1" w:space="0" w:color="CCCCCC"/>
              <w:right w:val="single" w:sz="1" w:space="0" w:color="CCCCCC"/>
            </w:tcBorders>
            <w:shd w:val="clear" w:color="auto" w:fill="8B1A1A"/>
            <w:tcMar>
              <w:top w:w="80" w:type="dxa"/>
              <w:left w:w="120" w:type="dxa"/>
              <w:bottom w:w="80" w:type="dxa"/>
              <w:right w:w="120" w:type="dxa"/>
            </w:tcMar>
          </w:tcPr>
          <w:p w14:paraId="0249C77F" w14:textId="77777777" w:rsidR="00804D20" w:rsidRDefault="00B968B3">
            <w:pPr>
              <w:spacing w:before="40" w:after="40"/>
            </w:pPr>
            <w:r>
              <w:rPr>
                <w:b/>
                <w:bCs/>
                <w:color w:val="FFFFFF"/>
                <w:sz w:val="19"/>
                <w:szCs w:val="19"/>
              </w:rPr>
              <w:t>DEATH</w:t>
            </w:r>
          </w:p>
        </w:tc>
        <w:tc>
          <w:tcPr>
            <w:tcW w:w="35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80" w14:textId="77777777" w:rsidR="00804D20" w:rsidRPr="006D27E0" w:rsidRDefault="00B968B3">
            <w:pPr>
              <w:spacing w:before="40" w:after="40"/>
              <w:rPr>
                <w:lang w:val="en-US"/>
              </w:rPr>
            </w:pPr>
            <w:r w:rsidRPr="006D27E0">
              <w:rPr>
                <w:color w:val="3C3C3C"/>
                <w:sz w:val="19"/>
                <w:szCs w:val="19"/>
                <w:lang w:val="en-US"/>
              </w:rPr>
              <w:t>Signed and transmitted criminal orders including the Commissar Order; planned and conducted aggressive wars.</w:t>
            </w:r>
          </w:p>
        </w:tc>
      </w:tr>
      <w:tr w:rsidR="00804D20" w:rsidRPr="006D27E0" w14:paraId="0249C78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82" w14:textId="77777777" w:rsidR="00804D20" w:rsidRDefault="00B968B3">
            <w:pPr>
              <w:spacing w:before="40" w:after="40"/>
            </w:pPr>
            <w:proofErr w:type="spellStart"/>
            <w:r>
              <w:rPr>
                <w:color w:val="3C3C3C"/>
                <w:sz w:val="19"/>
                <w:szCs w:val="19"/>
              </w:rPr>
              <w:t>Seyss-Inquart</w:t>
            </w:r>
            <w:proofErr w:type="spellEnd"/>
            <w:r>
              <w:rPr>
                <w:color w:val="3C3C3C"/>
                <w:sz w:val="19"/>
                <w:szCs w:val="19"/>
              </w:rPr>
              <w:t>, Arthur</w:t>
            </w:r>
          </w:p>
        </w:tc>
        <w:tc>
          <w:tcPr>
            <w:tcW w:w="18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83" w14:textId="77777777" w:rsidR="00804D20" w:rsidRDefault="00B968B3">
            <w:pPr>
              <w:spacing w:before="40" w:after="40"/>
            </w:pPr>
            <w:r>
              <w:rPr>
                <w:color w:val="3C3C3C"/>
                <w:sz w:val="19"/>
                <w:szCs w:val="19"/>
              </w:rPr>
              <w:t xml:space="preserve">Reich </w:t>
            </w:r>
            <w:proofErr w:type="spellStart"/>
            <w:r>
              <w:rPr>
                <w:color w:val="3C3C3C"/>
                <w:sz w:val="19"/>
                <w:szCs w:val="19"/>
              </w:rPr>
              <w:t>Commissioner</w:t>
            </w:r>
            <w:proofErr w:type="spellEnd"/>
            <w:r>
              <w:rPr>
                <w:color w:val="3C3C3C"/>
                <w:sz w:val="19"/>
                <w:szCs w:val="19"/>
              </w:rPr>
              <w:t>, Netherlands</w:t>
            </w:r>
          </w:p>
        </w:tc>
        <w:tc>
          <w:tcPr>
            <w:tcW w:w="1800" w:type="dxa"/>
            <w:tcBorders>
              <w:top w:val="single" w:sz="1" w:space="0" w:color="CCCCCC"/>
              <w:left w:val="single" w:sz="1" w:space="0" w:color="CCCCCC"/>
              <w:bottom w:val="single" w:sz="1" w:space="0" w:color="CCCCCC"/>
              <w:right w:val="single" w:sz="1" w:space="0" w:color="CCCCCC"/>
            </w:tcBorders>
            <w:shd w:val="clear" w:color="auto" w:fill="8B1A1A"/>
            <w:tcMar>
              <w:top w:w="80" w:type="dxa"/>
              <w:left w:w="120" w:type="dxa"/>
              <w:bottom w:w="80" w:type="dxa"/>
              <w:right w:w="120" w:type="dxa"/>
            </w:tcMar>
          </w:tcPr>
          <w:p w14:paraId="0249C784" w14:textId="77777777" w:rsidR="00804D20" w:rsidRDefault="00B968B3">
            <w:pPr>
              <w:spacing w:before="40" w:after="40"/>
            </w:pPr>
            <w:r>
              <w:rPr>
                <w:b/>
                <w:bCs/>
                <w:color w:val="FFFFFF"/>
                <w:sz w:val="19"/>
                <w:szCs w:val="19"/>
              </w:rPr>
              <w:t>DEATH</w:t>
            </w:r>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85" w14:textId="77777777" w:rsidR="00804D20" w:rsidRPr="006D27E0" w:rsidRDefault="00B968B3">
            <w:pPr>
              <w:spacing w:before="40" w:after="40"/>
              <w:rPr>
                <w:lang w:val="en-US"/>
              </w:rPr>
            </w:pPr>
            <w:r w:rsidRPr="006D27E0">
              <w:rPr>
                <w:color w:val="3C3C3C"/>
                <w:sz w:val="19"/>
                <w:szCs w:val="19"/>
                <w:lang w:val="en-US"/>
              </w:rPr>
              <w:t>Deportation of Dutch Jews to death camps; execution of hostages; brutal occupation policies.</w:t>
            </w:r>
          </w:p>
        </w:tc>
      </w:tr>
      <w:tr w:rsidR="00804D20" w:rsidRPr="006D27E0" w14:paraId="0249C78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87" w14:textId="77777777" w:rsidR="00804D20" w:rsidRDefault="00B968B3">
            <w:pPr>
              <w:spacing w:before="40" w:after="40"/>
            </w:pPr>
            <w:r>
              <w:rPr>
                <w:color w:val="3C3C3C"/>
                <w:sz w:val="19"/>
                <w:szCs w:val="19"/>
              </w:rPr>
              <w:t>Göring, Hermann</w:t>
            </w:r>
          </w:p>
        </w:tc>
        <w:tc>
          <w:tcPr>
            <w:tcW w:w="18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88" w14:textId="77777777" w:rsidR="00804D20" w:rsidRDefault="00B968B3">
            <w:pPr>
              <w:spacing w:before="40" w:after="40"/>
            </w:pPr>
            <w:proofErr w:type="spellStart"/>
            <w:r>
              <w:rPr>
                <w:color w:val="3C3C3C"/>
                <w:sz w:val="19"/>
                <w:szCs w:val="19"/>
              </w:rPr>
              <w:t>Reichsmarschall</w:t>
            </w:r>
            <w:proofErr w:type="spellEnd"/>
            <w:r>
              <w:rPr>
                <w:color w:val="3C3C3C"/>
                <w:sz w:val="19"/>
                <w:szCs w:val="19"/>
              </w:rPr>
              <w:t>; head of Luftwaffe</w:t>
            </w:r>
          </w:p>
        </w:tc>
        <w:tc>
          <w:tcPr>
            <w:tcW w:w="1800" w:type="dxa"/>
            <w:tcBorders>
              <w:top w:val="single" w:sz="1" w:space="0" w:color="CCCCCC"/>
              <w:left w:val="single" w:sz="1" w:space="0" w:color="CCCCCC"/>
              <w:bottom w:val="single" w:sz="1" w:space="0" w:color="CCCCCC"/>
              <w:right w:val="single" w:sz="1" w:space="0" w:color="CCCCCC"/>
            </w:tcBorders>
            <w:shd w:val="clear" w:color="auto" w:fill="8B1A1A"/>
            <w:tcMar>
              <w:top w:w="80" w:type="dxa"/>
              <w:left w:w="120" w:type="dxa"/>
              <w:bottom w:w="80" w:type="dxa"/>
              <w:right w:w="120" w:type="dxa"/>
            </w:tcMar>
          </w:tcPr>
          <w:p w14:paraId="0249C789" w14:textId="77777777" w:rsidR="00804D20" w:rsidRDefault="00B968B3">
            <w:pPr>
              <w:spacing w:before="40" w:after="40"/>
            </w:pPr>
            <w:r>
              <w:rPr>
                <w:b/>
                <w:bCs/>
                <w:color w:val="FFFFFF"/>
                <w:sz w:val="19"/>
                <w:szCs w:val="19"/>
              </w:rPr>
              <w:t>DEATH (suicide)</w:t>
            </w:r>
          </w:p>
        </w:tc>
        <w:tc>
          <w:tcPr>
            <w:tcW w:w="35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8A" w14:textId="77777777" w:rsidR="00804D20" w:rsidRPr="006D27E0" w:rsidRDefault="00B968B3">
            <w:pPr>
              <w:spacing w:before="40" w:after="40"/>
              <w:rPr>
                <w:lang w:val="en-US"/>
              </w:rPr>
            </w:pPr>
            <w:r w:rsidRPr="006D27E0">
              <w:rPr>
                <w:color w:val="3C3C3C"/>
                <w:sz w:val="19"/>
                <w:szCs w:val="19"/>
                <w:lang w:val="en-US"/>
              </w:rPr>
              <w:t>Second only to Hitler; ordered destruction of Lidice; instrumental in creating the Final Solution apparatus.</w:t>
            </w:r>
          </w:p>
        </w:tc>
      </w:tr>
      <w:tr w:rsidR="00804D20" w:rsidRPr="006D27E0" w14:paraId="0249C79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8C" w14:textId="77777777" w:rsidR="00804D20" w:rsidRDefault="00B968B3">
            <w:pPr>
              <w:spacing w:before="40" w:after="40"/>
            </w:pPr>
            <w:r>
              <w:rPr>
                <w:color w:val="3C3C3C"/>
                <w:sz w:val="19"/>
                <w:szCs w:val="19"/>
              </w:rPr>
              <w:t>Bormann, Martin</w:t>
            </w:r>
          </w:p>
        </w:tc>
        <w:tc>
          <w:tcPr>
            <w:tcW w:w="18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8D" w14:textId="77777777" w:rsidR="00804D20" w:rsidRDefault="00B968B3">
            <w:pPr>
              <w:spacing w:before="40" w:after="40"/>
            </w:pPr>
            <w:r>
              <w:rPr>
                <w:color w:val="3C3C3C"/>
                <w:sz w:val="19"/>
                <w:szCs w:val="19"/>
              </w:rPr>
              <w:t xml:space="preserve">Head of Party </w:t>
            </w:r>
            <w:proofErr w:type="spellStart"/>
            <w:r>
              <w:rPr>
                <w:color w:val="3C3C3C"/>
                <w:sz w:val="19"/>
                <w:szCs w:val="19"/>
              </w:rPr>
              <w:t>Chancellery</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8B1A1A"/>
            <w:tcMar>
              <w:top w:w="80" w:type="dxa"/>
              <w:left w:w="120" w:type="dxa"/>
              <w:bottom w:w="80" w:type="dxa"/>
              <w:right w:w="120" w:type="dxa"/>
            </w:tcMar>
          </w:tcPr>
          <w:p w14:paraId="0249C78E" w14:textId="77777777" w:rsidR="00804D20" w:rsidRDefault="00B968B3">
            <w:pPr>
              <w:spacing w:before="40" w:after="40"/>
            </w:pPr>
            <w:r>
              <w:rPr>
                <w:b/>
                <w:bCs/>
                <w:color w:val="FFFFFF"/>
                <w:sz w:val="19"/>
                <w:szCs w:val="19"/>
              </w:rPr>
              <w:t xml:space="preserve">DEATH (in </w:t>
            </w:r>
            <w:proofErr w:type="spellStart"/>
            <w:r>
              <w:rPr>
                <w:b/>
                <w:bCs/>
                <w:color w:val="FFFFFF"/>
                <w:sz w:val="19"/>
                <w:szCs w:val="19"/>
              </w:rPr>
              <w:t>absentia</w:t>
            </w:r>
            <w:proofErr w:type="spellEnd"/>
            <w:r>
              <w:rPr>
                <w:b/>
                <w:bCs/>
                <w:color w:val="FFFFFF"/>
                <w:sz w:val="19"/>
                <w:szCs w:val="19"/>
              </w:rPr>
              <w:t>)</w:t>
            </w:r>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8F" w14:textId="77777777" w:rsidR="00804D20" w:rsidRPr="006D27E0" w:rsidRDefault="00B968B3">
            <w:pPr>
              <w:spacing w:before="40" w:after="40"/>
              <w:rPr>
                <w:lang w:val="en-US"/>
              </w:rPr>
            </w:pPr>
            <w:r w:rsidRPr="006D27E0">
              <w:rPr>
                <w:color w:val="3C3C3C"/>
                <w:sz w:val="19"/>
                <w:szCs w:val="19"/>
                <w:lang w:val="en-US"/>
              </w:rPr>
              <w:t>Issued orders for killing of Allied airmen; facilitated Final Solution; presumed dead at trial.</w:t>
            </w:r>
          </w:p>
        </w:tc>
      </w:tr>
      <w:tr w:rsidR="00804D20" w:rsidRPr="006D27E0" w14:paraId="0249C79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91" w14:textId="77777777" w:rsidR="00804D20" w:rsidRDefault="00B968B3">
            <w:pPr>
              <w:spacing w:before="40" w:after="40"/>
            </w:pPr>
            <w:r>
              <w:rPr>
                <w:color w:val="3C3C3C"/>
                <w:sz w:val="19"/>
                <w:szCs w:val="19"/>
              </w:rPr>
              <w:t>Hess, Rudolf</w:t>
            </w:r>
          </w:p>
        </w:tc>
        <w:tc>
          <w:tcPr>
            <w:tcW w:w="18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92" w14:textId="77777777" w:rsidR="00804D20" w:rsidRDefault="00B968B3">
            <w:pPr>
              <w:spacing w:before="40" w:after="40"/>
            </w:pPr>
            <w:r>
              <w:rPr>
                <w:color w:val="3C3C3C"/>
                <w:sz w:val="19"/>
                <w:szCs w:val="19"/>
              </w:rPr>
              <w:t>Deputy Führer</w:t>
            </w:r>
          </w:p>
        </w:tc>
        <w:tc>
          <w:tcPr>
            <w:tcW w:w="18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0249C793" w14:textId="77777777" w:rsidR="00804D20" w:rsidRDefault="00B968B3">
            <w:pPr>
              <w:spacing w:before="40" w:after="40"/>
            </w:pPr>
            <w:r>
              <w:rPr>
                <w:b/>
                <w:bCs/>
                <w:color w:val="FFFFFF"/>
                <w:sz w:val="19"/>
                <w:szCs w:val="19"/>
              </w:rPr>
              <w:t xml:space="preserve">Life </w:t>
            </w:r>
            <w:proofErr w:type="spellStart"/>
            <w:r>
              <w:rPr>
                <w:b/>
                <w:bCs/>
                <w:color w:val="FFFFFF"/>
                <w:sz w:val="19"/>
                <w:szCs w:val="19"/>
              </w:rPr>
              <w:t>Imprisonment</w:t>
            </w:r>
            <w:proofErr w:type="spellEnd"/>
          </w:p>
        </w:tc>
        <w:tc>
          <w:tcPr>
            <w:tcW w:w="35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94" w14:textId="77777777" w:rsidR="00804D20" w:rsidRPr="006D27E0" w:rsidRDefault="00B968B3">
            <w:pPr>
              <w:spacing w:before="40" w:after="40"/>
              <w:rPr>
                <w:lang w:val="en-US"/>
              </w:rPr>
            </w:pPr>
            <w:r w:rsidRPr="006D27E0">
              <w:rPr>
                <w:color w:val="3C3C3C"/>
                <w:sz w:val="19"/>
                <w:szCs w:val="19"/>
                <w:lang w:val="en-US"/>
              </w:rPr>
              <w:t>Crimes Against Peace only; departed Germany in 1941 before Final Solution implemented.</w:t>
            </w:r>
          </w:p>
        </w:tc>
      </w:tr>
      <w:tr w:rsidR="00804D20" w:rsidRPr="006D27E0" w14:paraId="0249C79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96" w14:textId="77777777" w:rsidR="00804D20" w:rsidRDefault="00B968B3">
            <w:pPr>
              <w:spacing w:before="40" w:after="40"/>
            </w:pPr>
            <w:r>
              <w:rPr>
                <w:color w:val="3C3C3C"/>
                <w:sz w:val="19"/>
                <w:szCs w:val="19"/>
              </w:rPr>
              <w:t>Funk, Walther</w:t>
            </w:r>
          </w:p>
        </w:tc>
        <w:tc>
          <w:tcPr>
            <w:tcW w:w="18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97" w14:textId="77777777" w:rsidR="00804D20" w:rsidRDefault="00B968B3">
            <w:pPr>
              <w:spacing w:before="40" w:after="40"/>
            </w:pPr>
            <w:r>
              <w:rPr>
                <w:color w:val="3C3C3C"/>
                <w:sz w:val="19"/>
                <w:szCs w:val="19"/>
              </w:rPr>
              <w:t xml:space="preserve">Reich </w:t>
            </w:r>
            <w:proofErr w:type="spellStart"/>
            <w:r>
              <w:rPr>
                <w:color w:val="3C3C3C"/>
                <w:sz w:val="19"/>
                <w:szCs w:val="19"/>
              </w:rPr>
              <w:t>Economics</w:t>
            </w:r>
            <w:proofErr w:type="spellEnd"/>
            <w:r>
              <w:rPr>
                <w:color w:val="3C3C3C"/>
                <w:sz w:val="19"/>
                <w:szCs w:val="19"/>
              </w:rPr>
              <w:t xml:space="preserve"> Minister</w:t>
            </w:r>
          </w:p>
        </w:tc>
        <w:tc>
          <w:tcPr>
            <w:tcW w:w="18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0249C798" w14:textId="77777777" w:rsidR="00804D20" w:rsidRDefault="00B968B3">
            <w:pPr>
              <w:spacing w:before="40" w:after="40"/>
            </w:pPr>
            <w:r>
              <w:rPr>
                <w:b/>
                <w:bCs/>
                <w:color w:val="FFFFFF"/>
                <w:sz w:val="19"/>
                <w:szCs w:val="19"/>
              </w:rPr>
              <w:t xml:space="preserve">Life </w:t>
            </w:r>
            <w:proofErr w:type="spellStart"/>
            <w:r>
              <w:rPr>
                <w:b/>
                <w:bCs/>
                <w:color w:val="FFFFFF"/>
                <w:sz w:val="19"/>
                <w:szCs w:val="19"/>
              </w:rPr>
              <w:t>Imprisonment</w:t>
            </w:r>
            <w:proofErr w:type="spellEnd"/>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99" w14:textId="77777777" w:rsidR="00804D20" w:rsidRPr="006D27E0" w:rsidRDefault="00B968B3">
            <w:pPr>
              <w:spacing w:before="40" w:after="40"/>
              <w:rPr>
                <w:lang w:val="en-US"/>
              </w:rPr>
            </w:pPr>
            <w:r w:rsidRPr="006D27E0">
              <w:rPr>
                <w:color w:val="3C3C3C"/>
                <w:sz w:val="19"/>
                <w:szCs w:val="19"/>
                <w:lang w:val="en-US"/>
              </w:rPr>
              <w:t>Economic complicity in war crimes; not a principal architect of the killing apparatus.</w:t>
            </w:r>
          </w:p>
        </w:tc>
      </w:tr>
      <w:tr w:rsidR="00804D20" w:rsidRPr="006D27E0" w14:paraId="0249C79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9B" w14:textId="77777777" w:rsidR="00804D20" w:rsidRDefault="00B968B3">
            <w:pPr>
              <w:spacing w:before="40" w:after="40"/>
            </w:pPr>
            <w:r>
              <w:rPr>
                <w:color w:val="3C3C3C"/>
                <w:sz w:val="19"/>
                <w:szCs w:val="19"/>
              </w:rPr>
              <w:t>Raeder, Erich</w:t>
            </w:r>
          </w:p>
        </w:tc>
        <w:tc>
          <w:tcPr>
            <w:tcW w:w="18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9C" w14:textId="77777777" w:rsidR="00804D20" w:rsidRDefault="00B968B3">
            <w:pPr>
              <w:spacing w:before="40" w:after="40"/>
            </w:pPr>
            <w:r>
              <w:rPr>
                <w:color w:val="3C3C3C"/>
                <w:sz w:val="19"/>
                <w:szCs w:val="19"/>
              </w:rPr>
              <w:t>Grand Admiral</w:t>
            </w:r>
          </w:p>
        </w:tc>
        <w:tc>
          <w:tcPr>
            <w:tcW w:w="18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0249C79D" w14:textId="77777777" w:rsidR="00804D20" w:rsidRDefault="00B968B3">
            <w:pPr>
              <w:spacing w:before="40" w:after="40"/>
            </w:pPr>
            <w:r>
              <w:rPr>
                <w:b/>
                <w:bCs/>
                <w:color w:val="FFFFFF"/>
                <w:sz w:val="19"/>
                <w:szCs w:val="19"/>
              </w:rPr>
              <w:t xml:space="preserve">Life </w:t>
            </w:r>
            <w:proofErr w:type="spellStart"/>
            <w:r>
              <w:rPr>
                <w:b/>
                <w:bCs/>
                <w:color w:val="FFFFFF"/>
                <w:sz w:val="19"/>
                <w:szCs w:val="19"/>
              </w:rPr>
              <w:t>Imprisonment</w:t>
            </w:r>
            <w:proofErr w:type="spellEnd"/>
          </w:p>
        </w:tc>
        <w:tc>
          <w:tcPr>
            <w:tcW w:w="35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9E" w14:textId="77777777" w:rsidR="00804D20" w:rsidRPr="006D27E0" w:rsidRDefault="00B968B3">
            <w:pPr>
              <w:spacing w:before="40" w:after="40"/>
              <w:rPr>
                <w:lang w:val="en-US"/>
              </w:rPr>
            </w:pPr>
            <w:r w:rsidRPr="006D27E0">
              <w:rPr>
                <w:color w:val="3C3C3C"/>
                <w:sz w:val="19"/>
                <w:szCs w:val="19"/>
                <w:lang w:val="en-US"/>
              </w:rPr>
              <w:t>Waged aggressive naval war; not involved in the extermination apparatus.</w:t>
            </w:r>
          </w:p>
        </w:tc>
      </w:tr>
      <w:tr w:rsidR="00804D20" w:rsidRPr="006D27E0" w14:paraId="0249C7A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A0" w14:textId="77777777" w:rsidR="00804D20" w:rsidRDefault="00B968B3">
            <w:pPr>
              <w:spacing w:before="40" w:after="40"/>
            </w:pPr>
            <w:r>
              <w:rPr>
                <w:color w:val="3C3C3C"/>
                <w:sz w:val="19"/>
                <w:szCs w:val="19"/>
              </w:rPr>
              <w:t>Speer, Albert</w:t>
            </w:r>
          </w:p>
        </w:tc>
        <w:tc>
          <w:tcPr>
            <w:tcW w:w="18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A1" w14:textId="77777777" w:rsidR="00804D20" w:rsidRDefault="00B968B3">
            <w:pPr>
              <w:spacing w:before="40" w:after="40"/>
            </w:pPr>
            <w:r>
              <w:rPr>
                <w:color w:val="3C3C3C"/>
                <w:sz w:val="19"/>
                <w:szCs w:val="19"/>
              </w:rPr>
              <w:t xml:space="preserve">Minister for </w:t>
            </w:r>
            <w:proofErr w:type="spellStart"/>
            <w:r>
              <w:rPr>
                <w:color w:val="3C3C3C"/>
                <w:sz w:val="19"/>
                <w:szCs w:val="19"/>
              </w:rPr>
              <w:t>Armaments</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0249C7A2" w14:textId="77777777" w:rsidR="00804D20" w:rsidRDefault="00B968B3">
            <w:pPr>
              <w:spacing w:before="40" w:after="40"/>
            </w:pPr>
            <w:r>
              <w:rPr>
                <w:b/>
                <w:bCs/>
                <w:color w:val="FFFFFF"/>
                <w:sz w:val="19"/>
                <w:szCs w:val="19"/>
              </w:rPr>
              <w:t xml:space="preserve">20 </w:t>
            </w:r>
            <w:proofErr w:type="spellStart"/>
            <w:r>
              <w:rPr>
                <w:b/>
                <w:bCs/>
                <w:color w:val="FFFFFF"/>
                <w:sz w:val="19"/>
                <w:szCs w:val="19"/>
              </w:rPr>
              <w:t>years</w:t>
            </w:r>
            <w:proofErr w:type="spellEnd"/>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A3" w14:textId="77777777" w:rsidR="00804D20" w:rsidRPr="006D27E0" w:rsidRDefault="00B968B3">
            <w:pPr>
              <w:spacing w:before="40" w:after="40"/>
              <w:rPr>
                <w:lang w:val="en-US"/>
              </w:rPr>
            </w:pPr>
            <w:r w:rsidRPr="006D27E0">
              <w:rPr>
                <w:color w:val="3C3C3C"/>
                <w:sz w:val="19"/>
                <w:szCs w:val="19"/>
                <w:lang w:val="en-US"/>
              </w:rPr>
              <w:t xml:space="preserve">Used slave </w:t>
            </w:r>
            <w:proofErr w:type="spellStart"/>
            <w:r w:rsidRPr="006D27E0">
              <w:rPr>
                <w:color w:val="3C3C3C"/>
                <w:sz w:val="19"/>
                <w:szCs w:val="19"/>
                <w:lang w:val="en-US"/>
              </w:rPr>
              <w:t>labour</w:t>
            </w:r>
            <w:proofErr w:type="spellEnd"/>
            <w:r w:rsidRPr="006D27E0">
              <w:rPr>
                <w:color w:val="3C3C3C"/>
                <w:sz w:val="19"/>
                <w:szCs w:val="19"/>
                <w:lang w:val="en-US"/>
              </w:rPr>
              <w:t xml:space="preserve"> but distanced himself from extermination; claimed ignorance of the Final Solution.</w:t>
            </w:r>
          </w:p>
        </w:tc>
      </w:tr>
      <w:tr w:rsidR="00804D20" w:rsidRPr="006D27E0" w14:paraId="0249C7A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A5" w14:textId="77777777" w:rsidR="00804D20" w:rsidRDefault="00B968B3">
            <w:pPr>
              <w:spacing w:before="40" w:after="40"/>
            </w:pPr>
            <w:proofErr w:type="spellStart"/>
            <w:r>
              <w:rPr>
                <w:color w:val="3C3C3C"/>
                <w:sz w:val="19"/>
                <w:szCs w:val="19"/>
              </w:rPr>
              <w:t>Schirach</w:t>
            </w:r>
            <w:proofErr w:type="spellEnd"/>
            <w:r>
              <w:rPr>
                <w:color w:val="3C3C3C"/>
                <w:sz w:val="19"/>
                <w:szCs w:val="19"/>
              </w:rPr>
              <w:t>, Baldur von</w:t>
            </w:r>
          </w:p>
        </w:tc>
        <w:tc>
          <w:tcPr>
            <w:tcW w:w="18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A6" w14:textId="77777777" w:rsidR="00804D20" w:rsidRPr="006D27E0" w:rsidRDefault="00B968B3">
            <w:pPr>
              <w:spacing w:before="40" w:after="40"/>
              <w:rPr>
                <w:lang w:val="en-US"/>
              </w:rPr>
            </w:pPr>
            <w:r w:rsidRPr="006D27E0">
              <w:rPr>
                <w:color w:val="3C3C3C"/>
                <w:sz w:val="19"/>
                <w:szCs w:val="19"/>
                <w:lang w:val="en-US"/>
              </w:rPr>
              <w:t>Gauleiter Vienna; Hitler Youth head</w:t>
            </w:r>
          </w:p>
        </w:tc>
        <w:tc>
          <w:tcPr>
            <w:tcW w:w="18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0249C7A7" w14:textId="77777777" w:rsidR="00804D20" w:rsidRDefault="00B968B3">
            <w:pPr>
              <w:spacing w:before="40" w:after="40"/>
            </w:pPr>
            <w:r>
              <w:rPr>
                <w:b/>
                <w:bCs/>
                <w:color w:val="FFFFFF"/>
                <w:sz w:val="19"/>
                <w:szCs w:val="19"/>
              </w:rPr>
              <w:t xml:space="preserve">20 </w:t>
            </w:r>
            <w:proofErr w:type="spellStart"/>
            <w:r>
              <w:rPr>
                <w:b/>
                <w:bCs/>
                <w:color w:val="FFFFFF"/>
                <w:sz w:val="19"/>
                <w:szCs w:val="19"/>
              </w:rPr>
              <w:t>years</w:t>
            </w:r>
            <w:proofErr w:type="spellEnd"/>
          </w:p>
        </w:tc>
        <w:tc>
          <w:tcPr>
            <w:tcW w:w="35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A8" w14:textId="77777777" w:rsidR="00804D20" w:rsidRPr="006D27E0" w:rsidRDefault="00B968B3">
            <w:pPr>
              <w:spacing w:before="40" w:after="40"/>
              <w:rPr>
                <w:lang w:val="en-US"/>
              </w:rPr>
            </w:pPr>
            <w:r w:rsidRPr="006D27E0">
              <w:rPr>
                <w:color w:val="3C3C3C"/>
                <w:sz w:val="19"/>
                <w:szCs w:val="19"/>
                <w:lang w:val="en-US"/>
              </w:rPr>
              <w:t>Deported Vienna Jews; mitigating factors accepted for his prior youth leadership role.</w:t>
            </w:r>
          </w:p>
        </w:tc>
      </w:tr>
      <w:tr w:rsidR="00804D20" w:rsidRPr="006D27E0" w14:paraId="0249C7A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AA" w14:textId="77777777" w:rsidR="00804D20" w:rsidRDefault="00B968B3">
            <w:pPr>
              <w:spacing w:before="40" w:after="40"/>
            </w:pPr>
            <w:r>
              <w:rPr>
                <w:color w:val="3C3C3C"/>
                <w:sz w:val="19"/>
                <w:szCs w:val="19"/>
              </w:rPr>
              <w:t>Neurath, Konstantin von</w:t>
            </w:r>
          </w:p>
        </w:tc>
        <w:tc>
          <w:tcPr>
            <w:tcW w:w="18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AB" w14:textId="77777777" w:rsidR="00804D20" w:rsidRDefault="00B968B3">
            <w:pPr>
              <w:spacing w:before="40" w:after="40"/>
            </w:pPr>
            <w:r>
              <w:rPr>
                <w:color w:val="3C3C3C"/>
                <w:sz w:val="19"/>
                <w:szCs w:val="19"/>
              </w:rPr>
              <w:t xml:space="preserve">Reich </w:t>
            </w:r>
            <w:proofErr w:type="spellStart"/>
            <w:r>
              <w:rPr>
                <w:color w:val="3C3C3C"/>
                <w:sz w:val="19"/>
                <w:szCs w:val="19"/>
              </w:rPr>
              <w:t>Protector</w:t>
            </w:r>
            <w:proofErr w:type="spellEnd"/>
            <w:r>
              <w:rPr>
                <w:color w:val="3C3C3C"/>
                <w:sz w:val="19"/>
                <w:szCs w:val="19"/>
              </w:rPr>
              <w:t xml:space="preserve">, </w:t>
            </w:r>
            <w:proofErr w:type="spellStart"/>
            <w:r>
              <w:rPr>
                <w:color w:val="3C3C3C"/>
                <w:sz w:val="19"/>
                <w:szCs w:val="19"/>
              </w:rPr>
              <w:t>Bohemia</w:t>
            </w:r>
            <w:proofErr w:type="spellEnd"/>
            <w:r>
              <w:rPr>
                <w:color w:val="3C3C3C"/>
                <w:sz w:val="19"/>
                <w:szCs w:val="19"/>
              </w:rPr>
              <w:t>/Moravia</w:t>
            </w:r>
          </w:p>
        </w:tc>
        <w:tc>
          <w:tcPr>
            <w:tcW w:w="18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0249C7AC" w14:textId="77777777" w:rsidR="00804D20" w:rsidRDefault="00B968B3">
            <w:pPr>
              <w:spacing w:before="40" w:after="40"/>
            </w:pPr>
            <w:r>
              <w:rPr>
                <w:b/>
                <w:bCs/>
                <w:color w:val="FFFFFF"/>
                <w:sz w:val="19"/>
                <w:szCs w:val="19"/>
              </w:rPr>
              <w:t xml:space="preserve">15 </w:t>
            </w:r>
            <w:proofErr w:type="spellStart"/>
            <w:r>
              <w:rPr>
                <w:b/>
                <w:bCs/>
                <w:color w:val="FFFFFF"/>
                <w:sz w:val="19"/>
                <w:szCs w:val="19"/>
              </w:rPr>
              <w:t>years</w:t>
            </w:r>
            <w:proofErr w:type="spellEnd"/>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AD" w14:textId="77777777" w:rsidR="00804D20" w:rsidRPr="006D27E0" w:rsidRDefault="00B968B3">
            <w:pPr>
              <w:spacing w:before="40" w:after="40"/>
              <w:rPr>
                <w:lang w:val="en-US"/>
              </w:rPr>
            </w:pPr>
            <w:r w:rsidRPr="006D27E0">
              <w:rPr>
                <w:color w:val="3C3C3C"/>
                <w:sz w:val="19"/>
                <w:szCs w:val="19"/>
                <w:lang w:val="en-US"/>
              </w:rPr>
              <w:t>Persecuted Czech Jews and intelligentsia; partly mitigated by age and earlier resistance to extreme measures.</w:t>
            </w:r>
          </w:p>
        </w:tc>
      </w:tr>
      <w:tr w:rsidR="00804D20" w:rsidRPr="006D27E0" w14:paraId="0249C7B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AF" w14:textId="77777777" w:rsidR="00804D20" w:rsidRDefault="00B968B3">
            <w:pPr>
              <w:spacing w:before="40" w:after="40"/>
            </w:pPr>
            <w:r>
              <w:rPr>
                <w:color w:val="3C3C3C"/>
                <w:sz w:val="19"/>
                <w:szCs w:val="19"/>
              </w:rPr>
              <w:t>Dönitz, Karl</w:t>
            </w:r>
          </w:p>
        </w:tc>
        <w:tc>
          <w:tcPr>
            <w:tcW w:w="18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B0" w14:textId="77777777" w:rsidR="00804D20" w:rsidRPr="006D27E0" w:rsidRDefault="00B968B3">
            <w:pPr>
              <w:spacing w:before="40" w:after="40"/>
              <w:rPr>
                <w:lang w:val="en-US"/>
              </w:rPr>
            </w:pPr>
            <w:r w:rsidRPr="006D27E0">
              <w:rPr>
                <w:color w:val="3C3C3C"/>
                <w:sz w:val="19"/>
                <w:szCs w:val="19"/>
                <w:lang w:val="en-US"/>
              </w:rPr>
              <w:t>Grand Admiral; briefly Head of State</w:t>
            </w:r>
          </w:p>
        </w:tc>
        <w:tc>
          <w:tcPr>
            <w:tcW w:w="18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0249C7B1" w14:textId="77777777" w:rsidR="00804D20" w:rsidRDefault="00B968B3">
            <w:pPr>
              <w:spacing w:before="40" w:after="40"/>
            </w:pPr>
            <w:r>
              <w:rPr>
                <w:b/>
                <w:bCs/>
                <w:color w:val="FFFFFF"/>
                <w:sz w:val="19"/>
                <w:szCs w:val="19"/>
              </w:rPr>
              <w:t xml:space="preserve">10 </w:t>
            </w:r>
            <w:proofErr w:type="spellStart"/>
            <w:r>
              <w:rPr>
                <w:b/>
                <w:bCs/>
                <w:color w:val="FFFFFF"/>
                <w:sz w:val="19"/>
                <w:szCs w:val="19"/>
              </w:rPr>
              <w:t>years</w:t>
            </w:r>
            <w:proofErr w:type="spellEnd"/>
          </w:p>
        </w:tc>
        <w:tc>
          <w:tcPr>
            <w:tcW w:w="35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B2" w14:textId="77777777" w:rsidR="00804D20" w:rsidRPr="006D27E0" w:rsidRDefault="00B968B3">
            <w:pPr>
              <w:spacing w:before="40" w:after="40"/>
              <w:rPr>
                <w:lang w:val="en-US"/>
              </w:rPr>
            </w:pPr>
            <w:r w:rsidRPr="006D27E0">
              <w:rPr>
                <w:color w:val="3C3C3C"/>
                <w:sz w:val="19"/>
                <w:szCs w:val="19"/>
                <w:lang w:val="en-US"/>
              </w:rPr>
              <w:t>Waged unrestricted submarine warfare; conviction controversial among the four powers.</w:t>
            </w:r>
          </w:p>
        </w:tc>
      </w:tr>
      <w:tr w:rsidR="00804D20" w:rsidRPr="006D27E0" w14:paraId="0249C7B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B4" w14:textId="77777777" w:rsidR="00804D20" w:rsidRDefault="00B968B3">
            <w:pPr>
              <w:spacing w:before="40" w:after="40"/>
            </w:pPr>
            <w:r>
              <w:rPr>
                <w:color w:val="3C3C3C"/>
                <w:sz w:val="19"/>
                <w:szCs w:val="19"/>
              </w:rPr>
              <w:t>Schacht, Hjalmar</w:t>
            </w:r>
          </w:p>
        </w:tc>
        <w:tc>
          <w:tcPr>
            <w:tcW w:w="18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B5" w14:textId="77777777" w:rsidR="00804D20" w:rsidRDefault="00B968B3">
            <w:pPr>
              <w:spacing w:before="40" w:after="40"/>
            </w:pPr>
            <w:proofErr w:type="spellStart"/>
            <w:r>
              <w:rPr>
                <w:color w:val="3C3C3C"/>
                <w:sz w:val="19"/>
                <w:szCs w:val="19"/>
              </w:rPr>
              <w:t>Economics</w:t>
            </w:r>
            <w:proofErr w:type="spellEnd"/>
            <w:r>
              <w:rPr>
                <w:color w:val="3C3C3C"/>
                <w:sz w:val="19"/>
                <w:szCs w:val="19"/>
              </w:rPr>
              <w:t xml:space="preserve"> Minister</w:t>
            </w:r>
          </w:p>
        </w:tc>
        <w:tc>
          <w:tcPr>
            <w:tcW w:w="1800" w:type="dxa"/>
            <w:tcBorders>
              <w:top w:val="single" w:sz="1" w:space="0" w:color="CCCCCC"/>
              <w:left w:val="single" w:sz="1" w:space="0" w:color="CCCCCC"/>
              <w:bottom w:val="single" w:sz="1" w:space="0" w:color="CCCCCC"/>
              <w:right w:val="single" w:sz="1" w:space="0" w:color="CCCCCC"/>
            </w:tcBorders>
            <w:shd w:val="clear" w:color="auto" w:fill="1A5C1A"/>
            <w:tcMar>
              <w:top w:w="80" w:type="dxa"/>
              <w:left w:w="120" w:type="dxa"/>
              <w:bottom w:w="80" w:type="dxa"/>
              <w:right w:w="120" w:type="dxa"/>
            </w:tcMar>
          </w:tcPr>
          <w:p w14:paraId="0249C7B6" w14:textId="77777777" w:rsidR="00804D20" w:rsidRDefault="00B968B3">
            <w:pPr>
              <w:spacing w:before="40" w:after="40"/>
            </w:pPr>
            <w:r>
              <w:rPr>
                <w:b/>
                <w:bCs/>
                <w:color w:val="FFFFFF"/>
                <w:sz w:val="19"/>
                <w:szCs w:val="19"/>
              </w:rPr>
              <w:t>ACQUITTED</w:t>
            </w:r>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B7" w14:textId="77777777" w:rsidR="00804D20" w:rsidRPr="006D27E0" w:rsidRDefault="00B968B3">
            <w:pPr>
              <w:spacing w:before="40" w:after="40"/>
              <w:rPr>
                <w:lang w:val="en-US"/>
              </w:rPr>
            </w:pPr>
            <w:r w:rsidRPr="006D27E0">
              <w:rPr>
                <w:color w:val="3C3C3C"/>
                <w:sz w:val="19"/>
                <w:szCs w:val="19"/>
                <w:lang w:val="en-US"/>
              </w:rPr>
              <w:t>Financed rearmament but resigned 1937; insufficient proximity to the criminal enterprise.</w:t>
            </w:r>
          </w:p>
        </w:tc>
      </w:tr>
      <w:tr w:rsidR="00804D20" w:rsidRPr="006D27E0" w14:paraId="0249C7B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B9" w14:textId="77777777" w:rsidR="00804D20" w:rsidRDefault="00B968B3">
            <w:pPr>
              <w:spacing w:before="40" w:after="40"/>
            </w:pPr>
            <w:r>
              <w:rPr>
                <w:color w:val="3C3C3C"/>
                <w:sz w:val="19"/>
                <w:szCs w:val="19"/>
              </w:rPr>
              <w:lastRenderedPageBreak/>
              <w:t>Papen, Franz von</w:t>
            </w:r>
          </w:p>
        </w:tc>
        <w:tc>
          <w:tcPr>
            <w:tcW w:w="18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BA" w14:textId="77777777" w:rsidR="00804D20" w:rsidRDefault="00B968B3">
            <w:pPr>
              <w:spacing w:before="40" w:after="40"/>
            </w:pPr>
            <w:r>
              <w:rPr>
                <w:color w:val="3C3C3C"/>
                <w:sz w:val="19"/>
                <w:szCs w:val="19"/>
              </w:rPr>
              <w:t xml:space="preserve">Vice Chancellor; </w:t>
            </w:r>
            <w:proofErr w:type="spellStart"/>
            <w:r>
              <w:rPr>
                <w:color w:val="3C3C3C"/>
                <w:sz w:val="19"/>
                <w:szCs w:val="19"/>
              </w:rPr>
              <w:t>diplomat</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1A5C1A"/>
            <w:tcMar>
              <w:top w:w="80" w:type="dxa"/>
              <w:left w:w="120" w:type="dxa"/>
              <w:bottom w:w="80" w:type="dxa"/>
              <w:right w:w="120" w:type="dxa"/>
            </w:tcMar>
          </w:tcPr>
          <w:p w14:paraId="0249C7BB" w14:textId="77777777" w:rsidR="00804D20" w:rsidRDefault="00B968B3">
            <w:pPr>
              <w:spacing w:before="40" w:after="40"/>
            </w:pPr>
            <w:r>
              <w:rPr>
                <w:b/>
                <w:bCs/>
                <w:color w:val="FFFFFF"/>
                <w:sz w:val="19"/>
                <w:szCs w:val="19"/>
              </w:rPr>
              <w:t>ACQUITTED</w:t>
            </w:r>
          </w:p>
        </w:tc>
        <w:tc>
          <w:tcPr>
            <w:tcW w:w="35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7BC" w14:textId="77777777" w:rsidR="00804D20" w:rsidRPr="006D27E0" w:rsidRDefault="00B968B3">
            <w:pPr>
              <w:spacing w:before="40" w:after="40"/>
              <w:rPr>
                <w:lang w:val="en-US"/>
              </w:rPr>
            </w:pPr>
            <w:r w:rsidRPr="006D27E0">
              <w:rPr>
                <w:color w:val="3C3C3C"/>
                <w:sz w:val="19"/>
                <w:szCs w:val="19"/>
                <w:lang w:val="en-US"/>
              </w:rPr>
              <w:t>Moral and political complicity acknowledged; insufficient legal evidence of crimes under the Charter.</w:t>
            </w:r>
          </w:p>
        </w:tc>
      </w:tr>
      <w:tr w:rsidR="00804D20" w:rsidRPr="006D27E0" w14:paraId="0249C7C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BE" w14:textId="77777777" w:rsidR="00804D20" w:rsidRDefault="00B968B3">
            <w:pPr>
              <w:spacing w:before="40" w:after="40"/>
            </w:pPr>
            <w:r>
              <w:rPr>
                <w:color w:val="3C3C3C"/>
                <w:sz w:val="19"/>
                <w:szCs w:val="19"/>
              </w:rPr>
              <w:t>Fritzsche, Hans</w:t>
            </w:r>
          </w:p>
        </w:tc>
        <w:tc>
          <w:tcPr>
            <w:tcW w:w="18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BF" w14:textId="77777777" w:rsidR="00804D20" w:rsidRDefault="00B968B3">
            <w:pPr>
              <w:spacing w:before="40" w:after="40"/>
            </w:pPr>
            <w:r>
              <w:rPr>
                <w:color w:val="3C3C3C"/>
                <w:sz w:val="19"/>
                <w:szCs w:val="19"/>
              </w:rPr>
              <w:t xml:space="preserve">Head of Radio </w:t>
            </w:r>
            <w:proofErr w:type="spellStart"/>
            <w:r>
              <w:rPr>
                <w:color w:val="3C3C3C"/>
                <w:sz w:val="19"/>
                <w:szCs w:val="19"/>
              </w:rPr>
              <w:t>Division</w:t>
            </w:r>
            <w:proofErr w:type="spellEnd"/>
            <w:r>
              <w:rPr>
                <w:color w:val="3C3C3C"/>
                <w:sz w:val="19"/>
                <w:szCs w:val="19"/>
              </w:rPr>
              <w:t xml:space="preserve">, Propaganda </w:t>
            </w:r>
            <w:proofErr w:type="spellStart"/>
            <w:r>
              <w:rPr>
                <w:color w:val="3C3C3C"/>
                <w:sz w:val="19"/>
                <w:szCs w:val="19"/>
              </w:rPr>
              <w:t>Ministry</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1A5C1A"/>
            <w:tcMar>
              <w:top w:w="80" w:type="dxa"/>
              <w:left w:w="120" w:type="dxa"/>
              <w:bottom w:w="80" w:type="dxa"/>
              <w:right w:w="120" w:type="dxa"/>
            </w:tcMar>
          </w:tcPr>
          <w:p w14:paraId="0249C7C0" w14:textId="77777777" w:rsidR="00804D20" w:rsidRDefault="00B968B3">
            <w:pPr>
              <w:spacing w:before="40" w:after="40"/>
            </w:pPr>
            <w:r>
              <w:rPr>
                <w:b/>
                <w:bCs/>
                <w:color w:val="FFFFFF"/>
                <w:sz w:val="19"/>
                <w:szCs w:val="19"/>
              </w:rPr>
              <w:t>ACQUITTED</w:t>
            </w:r>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7C1" w14:textId="77777777" w:rsidR="00804D20" w:rsidRPr="006D27E0" w:rsidRDefault="00B968B3">
            <w:pPr>
              <w:spacing w:before="40" w:after="40"/>
              <w:rPr>
                <w:lang w:val="en-US"/>
              </w:rPr>
            </w:pPr>
            <w:r w:rsidRPr="006D27E0">
              <w:rPr>
                <w:color w:val="3C3C3C"/>
                <w:sz w:val="19"/>
                <w:szCs w:val="19"/>
                <w:lang w:val="en-US"/>
              </w:rPr>
              <w:t>Propaganda role deemed insufficiently proximate to mass killing; Soviet prosecutors' primary nomination.</w:t>
            </w:r>
          </w:p>
        </w:tc>
      </w:tr>
    </w:tbl>
    <w:p w14:paraId="0249C7C3" w14:textId="77777777" w:rsidR="00804D20" w:rsidRPr="006D27E0" w:rsidRDefault="00804D20">
      <w:pPr>
        <w:spacing w:before="200"/>
        <w:rPr>
          <w:lang w:val="en-US"/>
        </w:rPr>
      </w:pPr>
    </w:p>
    <w:p w14:paraId="0249C7C4" w14:textId="77777777" w:rsidR="00804D20" w:rsidRPr="006D27E0" w:rsidRDefault="00B968B3">
      <w:pPr>
        <w:pStyle w:val="Heading2"/>
        <w:rPr>
          <w:lang w:val="en-US"/>
        </w:rPr>
      </w:pPr>
      <w:r w:rsidRPr="006D27E0">
        <w:rPr>
          <w:lang w:val="en-US"/>
        </w:rPr>
        <w:t>1.4  The Subsequent Nuremberg Trials — Expanded Criteria</w:t>
      </w:r>
    </w:p>
    <w:p w14:paraId="0249C7C5" w14:textId="77777777" w:rsidR="00804D20" w:rsidRPr="006D27E0" w:rsidRDefault="00B968B3">
      <w:pPr>
        <w:spacing w:before="100" w:after="100"/>
        <w:jc w:val="both"/>
        <w:rPr>
          <w:lang w:val="en-US"/>
        </w:rPr>
      </w:pPr>
      <w:r w:rsidRPr="006D27E0">
        <w:rPr>
          <w:color w:val="3C3C3C"/>
          <w:lang w:val="en-US"/>
        </w:rPr>
        <w:t>Beyond the main IMT, the United States conducted twelve additional military tribunals in Nuremberg from 1946 to 1949 under Control Council Law No. 10 (CCL 10). These trials broadened the legal framework in two significant respects. First, CCL 10 removed the 'war nexus' requirement from Crimes Against Humanity, meaning that persecution of civilians no longer needed to be connected to a war of aggression to constitute an international crime. Second, additional specific crimes were enumerated, including tortur</w:t>
      </w:r>
      <w:r w:rsidRPr="006D27E0">
        <w:rPr>
          <w:color w:val="3C3C3C"/>
          <w:lang w:val="en-US"/>
        </w:rPr>
        <w:t>e and rape.</w:t>
      </w:r>
    </w:p>
    <w:p w14:paraId="0249C7C6" w14:textId="77777777" w:rsidR="00804D20" w:rsidRPr="006D27E0" w:rsidRDefault="00B968B3">
      <w:pPr>
        <w:spacing w:before="100" w:after="100"/>
        <w:jc w:val="both"/>
        <w:rPr>
          <w:lang w:val="en-US"/>
        </w:rPr>
      </w:pPr>
      <w:r w:rsidRPr="006D27E0">
        <w:rPr>
          <w:color w:val="3C3C3C"/>
          <w:lang w:val="en-US"/>
        </w:rPr>
        <w:t xml:space="preserve">Of 177 defendants, 142 were convicted and 24 sentenced to death. Of these, 13 executions were carried out. The principal targeting criterion remained consistent with the IMT standard: </w:t>
      </w:r>
      <w:r w:rsidRPr="006D27E0">
        <w:rPr>
          <w:color w:val="3C3C3C"/>
          <w:u w:val="single"/>
          <w:lang w:val="en-US"/>
        </w:rPr>
        <w:t>those closest to the operational machinery of mass murder</w:t>
      </w:r>
      <w:r w:rsidRPr="006D27E0">
        <w:rPr>
          <w:color w:val="3C3C3C"/>
          <w:lang w:val="en-US"/>
        </w:rPr>
        <w:t xml:space="preserve"> — commanders of mobile killing units (Einsatzgruppen), concentration camp physicians, slave </w:t>
      </w:r>
      <w:proofErr w:type="spellStart"/>
      <w:r w:rsidRPr="006D27E0">
        <w:rPr>
          <w:color w:val="3C3C3C"/>
          <w:lang w:val="en-US"/>
        </w:rPr>
        <w:t>labour</w:t>
      </w:r>
      <w:proofErr w:type="spellEnd"/>
      <w:r w:rsidRPr="006D27E0">
        <w:rPr>
          <w:color w:val="3C3C3C"/>
          <w:lang w:val="en-US"/>
        </w:rPr>
        <w:t xml:space="preserve"> administrators, and juridical enablers of the extermination — received the death penalty.</w:t>
      </w:r>
    </w:p>
    <w:p w14:paraId="0249C7C7" w14:textId="77777777" w:rsidR="00804D20" w:rsidRPr="006D27E0" w:rsidRDefault="00B968B3">
      <w:pPr>
        <w:pStyle w:val="Heading2"/>
        <w:rPr>
          <w:lang w:val="en-US"/>
        </w:rPr>
      </w:pPr>
      <w:r w:rsidRPr="006D27E0">
        <w:rPr>
          <w:lang w:val="en-US"/>
        </w:rPr>
        <w:t>1.5  The Legal Principles Established — The Nuremberg Principles</w:t>
      </w:r>
    </w:p>
    <w:p w14:paraId="0249C7C8" w14:textId="77777777" w:rsidR="00804D20" w:rsidRPr="006D27E0" w:rsidRDefault="00B968B3">
      <w:pPr>
        <w:spacing w:before="100" w:after="100"/>
        <w:jc w:val="both"/>
        <w:rPr>
          <w:lang w:val="en-US"/>
        </w:rPr>
      </w:pPr>
      <w:r w:rsidRPr="006D27E0">
        <w:rPr>
          <w:color w:val="3C3C3C"/>
          <w:lang w:val="en-US"/>
        </w:rPr>
        <w:t>The IMT judgment crystallised seven principles that the United Nations subsequently codified and that are today regarded as customary international law and, in their core elements, as jus cogens (peremptory norms admitting no derogation):</w:t>
      </w:r>
    </w:p>
    <w:p w14:paraId="0249C7C9" w14:textId="77777777" w:rsidR="00804D20" w:rsidRPr="006D27E0" w:rsidRDefault="00B968B3">
      <w:pPr>
        <w:pStyle w:val="ListParagraph"/>
        <w:numPr>
          <w:ilvl w:val="0"/>
          <w:numId w:val="2"/>
        </w:numPr>
        <w:spacing w:before="60" w:after="60"/>
        <w:rPr>
          <w:lang w:val="en-US"/>
        </w:rPr>
      </w:pPr>
      <w:r w:rsidRPr="006D27E0">
        <w:rPr>
          <w:color w:val="3C3C3C"/>
          <w:sz w:val="21"/>
          <w:szCs w:val="21"/>
          <w:lang w:val="en-US"/>
        </w:rPr>
        <w:t>Individual criminal responsibility under international law, regardless of domestic legality of the acts committed.</w:t>
      </w:r>
    </w:p>
    <w:p w14:paraId="0249C7CA" w14:textId="77777777" w:rsidR="00804D20" w:rsidRPr="006D27E0" w:rsidRDefault="00B968B3">
      <w:pPr>
        <w:pStyle w:val="ListParagraph"/>
        <w:numPr>
          <w:ilvl w:val="0"/>
          <w:numId w:val="2"/>
        </w:numPr>
        <w:spacing w:before="60" w:after="60"/>
        <w:rPr>
          <w:lang w:val="en-US"/>
        </w:rPr>
      </w:pPr>
      <w:r w:rsidRPr="006D27E0">
        <w:rPr>
          <w:color w:val="3C3C3C"/>
          <w:sz w:val="21"/>
          <w:szCs w:val="21"/>
          <w:lang w:val="en-US"/>
        </w:rPr>
        <w:t>Irrelevance of official position: heads of state, ministers, and senior commanders are personally criminally responsible.</w:t>
      </w:r>
    </w:p>
    <w:p w14:paraId="0249C7CB" w14:textId="77777777" w:rsidR="00804D20" w:rsidRPr="006D27E0" w:rsidRDefault="00B968B3">
      <w:pPr>
        <w:pStyle w:val="ListParagraph"/>
        <w:numPr>
          <w:ilvl w:val="0"/>
          <w:numId w:val="2"/>
        </w:numPr>
        <w:spacing w:before="60" w:after="60"/>
        <w:rPr>
          <w:lang w:val="en-US"/>
        </w:rPr>
      </w:pPr>
      <w:r w:rsidRPr="006D27E0">
        <w:rPr>
          <w:color w:val="3C3C3C"/>
          <w:sz w:val="21"/>
          <w:szCs w:val="21"/>
          <w:lang w:val="en-US"/>
        </w:rPr>
        <w:t>Irrelevance of superior orders as a complete defence (though admissible in mitigation).</w:t>
      </w:r>
    </w:p>
    <w:p w14:paraId="0249C7CC" w14:textId="77777777" w:rsidR="00804D20" w:rsidRPr="006D27E0" w:rsidRDefault="00B968B3">
      <w:pPr>
        <w:pStyle w:val="ListParagraph"/>
        <w:numPr>
          <w:ilvl w:val="0"/>
          <w:numId w:val="2"/>
        </w:numPr>
        <w:spacing w:before="60" w:after="60"/>
        <w:rPr>
          <w:lang w:val="en-US"/>
        </w:rPr>
      </w:pPr>
      <w:r w:rsidRPr="006D27E0">
        <w:rPr>
          <w:color w:val="3C3C3C"/>
          <w:sz w:val="21"/>
          <w:szCs w:val="21"/>
          <w:lang w:val="en-US"/>
        </w:rPr>
        <w:t>The right to a fair trial for any person charged with an international crime.</w:t>
      </w:r>
    </w:p>
    <w:p w14:paraId="0249C7CD" w14:textId="77777777" w:rsidR="00804D20" w:rsidRPr="006D27E0" w:rsidRDefault="00B968B3">
      <w:pPr>
        <w:pStyle w:val="ListParagraph"/>
        <w:numPr>
          <w:ilvl w:val="0"/>
          <w:numId w:val="2"/>
        </w:numPr>
        <w:spacing w:before="60" w:after="60"/>
        <w:rPr>
          <w:lang w:val="en-US"/>
        </w:rPr>
      </w:pPr>
      <w:r w:rsidRPr="006D27E0">
        <w:rPr>
          <w:color w:val="3C3C3C"/>
          <w:sz w:val="21"/>
          <w:szCs w:val="21"/>
          <w:lang w:val="en-US"/>
        </w:rPr>
        <w:t>Criminal responsibility for crimes against peace, war crimes, and crimes against humanity.</w:t>
      </w:r>
    </w:p>
    <w:p w14:paraId="0249C7CE" w14:textId="77777777" w:rsidR="00804D20" w:rsidRPr="006D27E0" w:rsidRDefault="00B968B3">
      <w:pPr>
        <w:pStyle w:val="ListParagraph"/>
        <w:numPr>
          <w:ilvl w:val="0"/>
          <w:numId w:val="2"/>
        </w:numPr>
        <w:spacing w:before="60" w:after="60"/>
        <w:rPr>
          <w:lang w:val="en-US"/>
        </w:rPr>
      </w:pPr>
      <w:r w:rsidRPr="006D27E0">
        <w:rPr>
          <w:color w:val="3C3C3C"/>
          <w:sz w:val="21"/>
          <w:szCs w:val="21"/>
          <w:lang w:val="en-US"/>
        </w:rPr>
        <w:t>Complicity in the commission of any of these crimes is itself a crime.</w:t>
      </w:r>
    </w:p>
    <w:p w14:paraId="0249C7CF" w14:textId="77777777" w:rsidR="00804D20" w:rsidRPr="006D27E0" w:rsidRDefault="00B968B3">
      <w:pPr>
        <w:spacing w:before="100" w:after="100"/>
        <w:jc w:val="both"/>
        <w:rPr>
          <w:lang w:val="en-US"/>
        </w:rPr>
      </w:pPr>
      <w:r w:rsidRPr="006D27E0">
        <w:rPr>
          <w:color w:val="3C3C3C"/>
          <w:lang w:val="en-US"/>
        </w:rPr>
        <w:t>These principles became the foundational architecture upon which all subsequent international criminal tribunals — the ICTY, ICTR, and the ICC — have been constructed.</w:t>
      </w:r>
    </w:p>
    <w:p w14:paraId="0249C7D0" w14:textId="77777777" w:rsidR="00804D20" w:rsidRPr="006D27E0" w:rsidRDefault="00B968B3">
      <w:pPr>
        <w:pStyle w:val="Heading1"/>
        <w:pBdr>
          <w:bottom w:val="single" w:sz="6" w:space="4" w:color="B8972A"/>
        </w:pBdr>
        <w:rPr>
          <w:lang w:val="en-US"/>
        </w:rPr>
      </w:pPr>
      <w:r w:rsidRPr="006D27E0">
        <w:rPr>
          <w:lang w:val="en-US"/>
        </w:rPr>
        <w:t>Part II — The Holodomor: The Abyss of Impunity</w:t>
      </w:r>
    </w:p>
    <w:p w14:paraId="0249C7D1" w14:textId="77777777" w:rsidR="00804D20" w:rsidRPr="006D27E0" w:rsidRDefault="00B968B3">
      <w:pPr>
        <w:pStyle w:val="Heading2"/>
        <w:rPr>
          <w:lang w:val="en-US"/>
        </w:rPr>
      </w:pPr>
      <w:r w:rsidRPr="006D27E0">
        <w:rPr>
          <w:lang w:val="en-US"/>
        </w:rPr>
        <w:t>2.1  The Crime and Its Structure</w:t>
      </w:r>
    </w:p>
    <w:p w14:paraId="0249C7D2" w14:textId="77777777" w:rsidR="00804D20" w:rsidRPr="006D27E0" w:rsidRDefault="00B968B3">
      <w:pPr>
        <w:spacing w:before="100" w:after="100"/>
        <w:jc w:val="both"/>
        <w:rPr>
          <w:lang w:val="en-US"/>
        </w:rPr>
      </w:pPr>
      <w:r w:rsidRPr="006D27E0">
        <w:rPr>
          <w:color w:val="3C3C3C"/>
          <w:lang w:val="en-US"/>
        </w:rPr>
        <w:lastRenderedPageBreak/>
        <w:t>The Holodomor (1932–1933) was a man-made famine in the Ukrainian Soviet Socialist Republic that killed between 3.9 and 10 million people. Unlike the Holocaust, which employed direct physical killing through a bureaucratic apparatus of industrialised murder, the Holodomor operated through the systematic withdrawal of the conditions necessary for survival: confiscation of grain and all foodstuffs, imposition of unrealistically high procurement quotas, blacklisting of villages, closure of borders by armed forc</w:t>
      </w:r>
      <w:r w:rsidRPr="006D27E0">
        <w:rPr>
          <w:color w:val="3C3C3C"/>
          <w:lang w:val="en-US"/>
        </w:rPr>
        <w:t>es, denial of internal passports to prevent peasants from seeking food elsewhere, and deliberate refusal of international aid.</w:t>
      </w:r>
    </w:p>
    <w:p w14:paraId="0249C7D3" w14:textId="77777777" w:rsidR="00804D20" w:rsidRPr="006D27E0" w:rsidRDefault="00B968B3">
      <w:pPr>
        <w:spacing w:before="100" w:after="100"/>
        <w:jc w:val="both"/>
        <w:rPr>
          <w:lang w:val="en-US"/>
        </w:rPr>
      </w:pPr>
      <w:r w:rsidRPr="006D27E0">
        <w:rPr>
          <w:color w:val="3C3C3C"/>
          <w:lang w:val="en-US"/>
        </w:rPr>
        <w:t>The mechanism was structural rather than kinetic: death came not from a bullet or a gas chamber, but from the organised removal of food from a population, surrounded by armed cordons, at the precise moment of maximum vulnerability.</w:t>
      </w:r>
    </w:p>
    <w:p w14:paraId="0249C7D4" w14:textId="77777777" w:rsidR="00804D20" w:rsidRPr="006D27E0" w:rsidRDefault="00B968B3">
      <w:pPr>
        <w:pBdr>
          <w:left w:val="single" w:sz="12" w:space="8" w:color="B8972A"/>
        </w:pBdr>
        <w:spacing w:before="160" w:after="160"/>
        <w:ind w:left="720" w:right="720"/>
        <w:jc w:val="both"/>
        <w:rPr>
          <w:lang w:val="en-US"/>
        </w:rPr>
      </w:pPr>
      <w:r w:rsidRPr="006D27E0">
        <w:rPr>
          <w:i/>
          <w:iCs/>
          <w:color w:val="666666"/>
          <w:sz w:val="21"/>
          <w:szCs w:val="21"/>
          <w:lang w:val="en-US"/>
        </w:rPr>
        <w:t>"On 22 January 1933, Stalin and Molotov signed the directive 'On preventing the mass flight of starving peasants in search of food from the Ukrainian SSR,' adopted by the Central Committee, and sent it to the Ukrainian SSR. This prohibited the departure of peasants from Ukraine and blocked the borders of the Ukrainian SSR by military units. This ban deliberately deprived starving Ukrainian peasants of the possibility of obtaining, beyond the famine-stricken territory, the food they needed for survival, doom</w:t>
      </w:r>
      <w:r w:rsidRPr="006D27E0">
        <w:rPr>
          <w:i/>
          <w:iCs/>
          <w:color w:val="666666"/>
          <w:sz w:val="21"/>
          <w:szCs w:val="21"/>
          <w:lang w:val="en-US"/>
        </w:rPr>
        <w:t>ing them to death by famine." — Ukrainian Prosecutor General's Office, Pre-Trial Investigation Summary, 2009</w:t>
      </w:r>
    </w:p>
    <w:p w14:paraId="0249C7D5" w14:textId="77777777" w:rsidR="00804D20" w:rsidRPr="006D27E0" w:rsidRDefault="00B968B3">
      <w:pPr>
        <w:pStyle w:val="Heading2"/>
        <w:rPr>
          <w:lang w:val="en-US"/>
        </w:rPr>
      </w:pPr>
      <w:r w:rsidRPr="006D27E0">
        <w:rPr>
          <w:lang w:val="en-US"/>
        </w:rPr>
        <w:t>2.2  The Perpetrators Named</w:t>
      </w:r>
    </w:p>
    <w:p w14:paraId="0249C7D6" w14:textId="77777777" w:rsidR="00804D20" w:rsidRPr="006D27E0" w:rsidRDefault="00B968B3">
      <w:pPr>
        <w:spacing w:before="100" w:after="100"/>
        <w:jc w:val="both"/>
        <w:rPr>
          <w:lang w:val="en-US"/>
        </w:rPr>
      </w:pPr>
      <w:r w:rsidRPr="006D27E0">
        <w:rPr>
          <w:color w:val="3C3C3C"/>
          <w:lang w:val="en-US"/>
        </w:rPr>
        <w:t>The pre-trial investigation conducted by the Ukrainian Security Service (SBU) and the Prosecutor General's Office between 2009 and 2019, based on the analysis of over 3,456 documents from Communist Party and state archives, formally identified the following as the principal architects of the Holodomor: Joseph Stalin, Vyacheslav Molotov, Lazar Kaganovich, Pavel Postyshev, Stanislav Kossior, Vlas Chubar, and Mendel Khatayevich. All were found to have organised and perpetrated genocide against part of the Ukra</w:t>
      </w:r>
      <w:r w:rsidRPr="006D27E0">
        <w:rPr>
          <w:color w:val="3C3C3C"/>
          <w:lang w:val="en-US"/>
        </w:rPr>
        <w:t>inian national group.</w:t>
      </w:r>
    </w:p>
    <w:p w14:paraId="0249C7D7" w14:textId="77777777" w:rsidR="00804D20" w:rsidRPr="006D27E0" w:rsidRDefault="00B968B3">
      <w:pPr>
        <w:pStyle w:val="Heading2"/>
        <w:rPr>
          <w:lang w:val="en-US"/>
        </w:rPr>
      </w:pPr>
      <w:r w:rsidRPr="006D27E0">
        <w:rPr>
          <w:lang w:val="en-US"/>
        </w:rPr>
        <w:t>2.3  Why No Trial Was Ever Held</w:t>
      </w:r>
    </w:p>
    <w:p w14:paraId="0249C7D8" w14:textId="77777777" w:rsidR="00804D20" w:rsidRPr="006D27E0" w:rsidRDefault="00B968B3">
      <w:pPr>
        <w:spacing w:before="100" w:after="100"/>
        <w:jc w:val="both"/>
        <w:rPr>
          <w:lang w:val="en-US"/>
        </w:rPr>
      </w:pPr>
      <w:r w:rsidRPr="006D27E0">
        <w:rPr>
          <w:color w:val="3C3C3C"/>
          <w:lang w:val="en-US"/>
        </w:rPr>
        <w:t>The contrast with Nuremberg could not be more absolute. At Nuremberg, the trial was initiated within months of the crime's full exposure, while the principal perpetrators were alive and available for prosecution. In the case of the Holodomor, five structural factors combined to produce total impunity:</w:t>
      </w:r>
    </w:p>
    <w:p w14:paraId="0249C7D9" w14:textId="77777777" w:rsidR="00804D20" w:rsidRDefault="00B968B3">
      <w:pPr>
        <w:pStyle w:val="ListParagraph"/>
        <w:numPr>
          <w:ilvl w:val="0"/>
          <w:numId w:val="2"/>
        </w:numPr>
        <w:spacing w:before="60" w:after="60"/>
      </w:pPr>
      <w:r w:rsidRPr="006D27E0">
        <w:rPr>
          <w:b/>
          <w:bCs/>
          <w:color w:val="1B2A4A"/>
          <w:sz w:val="21"/>
          <w:szCs w:val="21"/>
          <w:lang w:val="en-US"/>
        </w:rPr>
        <w:t xml:space="preserve">1. </w:t>
      </w:r>
      <w:r w:rsidRPr="006D27E0">
        <w:rPr>
          <w:color w:val="3C3C3C"/>
          <w:sz w:val="21"/>
          <w:szCs w:val="21"/>
          <w:lang w:val="en-US"/>
        </w:rPr>
        <w:t xml:space="preserve">The perpetrating state survived and was victorious — the Soviet Union was one of the four nations that established the IMT and sat in judgment at Nuremberg. </w:t>
      </w:r>
      <w:proofErr w:type="spellStart"/>
      <w:r>
        <w:rPr>
          <w:color w:val="3C3C3C"/>
          <w:sz w:val="21"/>
          <w:szCs w:val="21"/>
        </w:rPr>
        <w:t>It</w:t>
      </w:r>
      <w:proofErr w:type="spellEnd"/>
      <w:r>
        <w:rPr>
          <w:color w:val="3C3C3C"/>
          <w:sz w:val="21"/>
          <w:szCs w:val="21"/>
        </w:rPr>
        <w:t xml:space="preserve"> </w:t>
      </w:r>
      <w:proofErr w:type="spellStart"/>
      <w:r>
        <w:rPr>
          <w:color w:val="3C3C3C"/>
          <w:sz w:val="21"/>
          <w:szCs w:val="21"/>
        </w:rPr>
        <w:t>could</w:t>
      </w:r>
      <w:proofErr w:type="spellEnd"/>
      <w:r>
        <w:rPr>
          <w:color w:val="3C3C3C"/>
          <w:sz w:val="21"/>
          <w:szCs w:val="21"/>
        </w:rPr>
        <w:t xml:space="preserve"> </w:t>
      </w:r>
      <w:proofErr w:type="spellStart"/>
      <w:r>
        <w:rPr>
          <w:color w:val="3C3C3C"/>
          <w:sz w:val="21"/>
          <w:szCs w:val="21"/>
        </w:rPr>
        <w:t>not</w:t>
      </w:r>
      <w:proofErr w:type="spellEnd"/>
      <w:r>
        <w:rPr>
          <w:color w:val="3C3C3C"/>
          <w:sz w:val="21"/>
          <w:szCs w:val="21"/>
        </w:rPr>
        <w:t xml:space="preserve"> be </w:t>
      </w:r>
      <w:proofErr w:type="spellStart"/>
      <w:r>
        <w:rPr>
          <w:color w:val="3C3C3C"/>
          <w:sz w:val="21"/>
          <w:szCs w:val="21"/>
        </w:rPr>
        <w:t>simultaneously</w:t>
      </w:r>
      <w:proofErr w:type="spellEnd"/>
      <w:r>
        <w:rPr>
          <w:color w:val="3C3C3C"/>
          <w:sz w:val="21"/>
          <w:szCs w:val="21"/>
        </w:rPr>
        <w:t xml:space="preserve"> prosecutor and </w:t>
      </w:r>
      <w:proofErr w:type="spellStart"/>
      <w:r>
        <w:rPr>
          <w:color w:val="3C3C3C"/>
          <w:sz w:val="21"/>
          <w:szCs w:val="21"/>
        </w:rPr>
        <w:t>defendant</w:t>
      </w:r>
      <w:proofErr w:type="spellEnd"/>
      <w:r>
        <w:rPr>
          <w:color w:val="3C3C3C"/>
          <w:sz w:val="21"/>
          <w:szCs w:val="21"/>
        </w:rPr>
        <w:t>.</w:t>
      </w:r>
    </w:p>
    <w:p w14:paraId="0249C7DA"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2. </w:t>
      </w:r>
      <w:r w:rsidRPr="006D27E0">
        <w:rPr>
          <w:color w:val="3C3C3C"/>
          <w:sz w:val="21"/>
          <w:szCs w:val="21"/>
          <w:lang w:val="en-US"/>
        </w:rPr>
        <w:t>Active suppression of evidence — the Soviet state suppressed, classified, and destroyed the documentary record of the famine for decades, and employed state media and foreign correspondents (notably Walter Duranty of The New York Times, whose denials won a Pulitzer Prize) to deny the famine's existence to the outside world.</w:t>
      </w:r>
    </w:p>
    <w:p w14:paraId="0249C7DB"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3. </w:t>
      </w:r>
      <w:r w:rsidRPr="006D27E0">
        <w:rPr>
          <w:color w:val="3C3C3C"/>
          <w:sz w:val="21"/>
          <w:szCs w:val="21"/>
          <w:lang w:val="en-US"/>
        </w:rPr>
        <w:t>Complicity of the international community — Western governments, seeking trade relationships with the USSR and later wartime alliance, declined to press for accountability.</w:t>
      </w:r>
    </w:p>
    <w:p w14:paraId="0249C7DC"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4. </w:t>
      </w:r>
      <w:r w:rsidRPr="006D27E0">
        <w:rPr>
          <w:color w:val="3C3C3C"/>
          <w:sz w:val="21"/>
          <w:szCs w:val="21"/>
          <w:lang w:val="en-US"/>
        </w:rPr>
        <w:t>Longevity of the perpetrating state — the Soviet Union did not dissolve until 1991, 58 years after the Holodomor. By the time Ukraine could launch judicial proceedings, every principal perpetrator had died of natural causes — many in positions of power, having been promoted rather than punished after 1933.</w:t>
      </w:r>
    </w:p>
    <w:p w14:paraId="0249C7DD"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5. </w:t>
      </w:r>
      <w:r w:rsidRPr="006D27E0">
        <w:rPr>
          <w:color w:val="3C3C3C"/>
          <w:sz w:val="21"/>
          <w:szCs w:val="21"/>
          <w:lang w:val="en-US"/>
        </w:rPr>
        <w:t xml:space="preserve">Retroactivity constraints — the 1948 Genocide Convention entered into force after the Holodomor. Its retroactive application to punish perpetrators was legally inadmissible under </w:t>
      </w:r>
      <w:r w:rsidRPr="006D27E0">
        <w:rPr>
          <w:color w:val="3C3C3C"/>
          <w:sz w:val="21"/>
          <w:szCs w:val="21"/>
          <w:lang w:val="en-US"/>
        </w:rPr>
        <w:lastRenderedPageBreak/>
        <w:t>the principle of nullum crimen sine lege — no punishment without pre-existing law — the very principle that created controversy even at Nuremberg itself.</w:t>
      </w:r>
    </w:p>
    <w:p w14:paraId="0249C7DE" w14:textId="77777777" w:rsidR="00804D20" w:rsidRPr="006D27E0" w:rsidRDefault="00B968B3">
      <w:pPr>
        <w:spacing w:before="100" w:after="100"/>
        <w:jc w:val="both"/>
        <w:rPr>
          <w:lang w:val="en-US"/>
        </w:rPr>
      </w:pPr>
      <w:r w:rsidRPr="006D27E0">
        <w:rPr>
          <w:color w:val="3C3C3C"/>
          <w:lang w:val="en-US"/>
        </w:rPr>
        <w:t>The only 'trial' ever conducted was the posthumous Ukrainian criminal proceeding that concluded in 2010 with formal findings of guilt — but no living defendant, no penalty, and no enforcement. History judged; the law did not.</w:t>
      </w:r>
    </w:p>
    <w:p w14:paraId="0249C7DF" w14:textId="77777777" w:rsidR="00804D20" w:rsidRPr="006D27E0" w:rsidRDefault="00B968B3">
      <w:pPr>
        <w:pStyle w:val="Heading1"/>
        <w:pBdr>
          <w:bottom w:val="single" w:sz="6" w:space="4" w:color="B8972A"/>
        </w:pBdr>
        <w:rPr>
          <w:lang w:val="en-US"/>
        </w:rPr>
      </w:pPr>
      <w:r w:rsidRPr="006D27E0">
        <w:rPr>
          <w:lang w:val="en-US"/>
        </w:rPr>
        <w:t>Part III — Comparative Analysis: Holocaust vs Holodomor</w:t>
      </w:r>
    </w:p>
    <w:p w14:paraId="0249C7E0" w14:textId="77777777" w:rsidR="00804D20" w:rsidRDefault="00B968B3">
      <w:pPr>
        <w:pStyle w:val="Heading2"/>
      </w:pPr>
      <w:r>
        <w:t xml:space="preserve">3.1  </w:t>
      </w:r>
      <w:proofErr w:type="spellStart"/>
      <w:r>
        <w:t>Structural</w:t>
      </w:r>
      <w:proofErr w:type="spellEnd"/>
      <w:r>
        <w:t xml:space="preserve"> </w:t>
      </w:r>
      <w:proofErr w:type="spellStart"/>
      <w:r>
        <w:t>Comparison</w:t>
      </w:r>
      <w:proofErr w:type="spellEnd"/>
      <w:r>
        <w:t xml:space="preserve"> Table</w:t>
      </w:r>
    </w:p>
    <w:p w14:paraId="0249C7E1" w14:textId="77777777" w:rsidR="00804D20" w:rsidRDefault="00804D20">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480"/>
        <w:gridCol w:w="3480"/>
      </w:tblGrid>
      <w:tr w:rsidR="00804D20" w14:paraId="0249C7E5"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7E2" w14:textId="77777777" w:rsidR="00804D20" w:rsidRDefault="00B968B3">
            <w:pPr>
              <w:spacing w:before="40" w:after="40"/>
              <w:jc w:val="center"/>
            </w:pPr>
            <w:proofErr w:type="spellStart"/>
            <w:r>
              <w:rPr>
                <w:b/>
                <w:bCs/>
                <w:color w:val="FFFFFF"/>
                <w:sz w:val="20"/>
                <w:szCs w:val="20"/>
              </w:rPr>
              <w:t>Dimension</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7E3" w14:textId="77777777" w:rsidR="00804D20" w:rsidRDefault="00B968B3">
            <w:pPr>
              <w:spacing w:before="40" w:after="40"/>
              <w:jc w:val="center"/>
            </w:pPr>
            <w:proofErr w:type="spellStart"/>
            <w:r>
              <w:rPr>
                <w:b/>
                <w:bCs/>
                <w:color w:val="FFFFFF"/>
                <w:sz w:val="20"/>
                <w:szCs w:val="20"/>
              </w:rPr>
              <w:t>Holocaust</w:t>
            </w:r>
            <w:proofErr w:type="spellEnd"/>
            <w:r>
              <w:rPr>
                <w:b/>
                <w:bCs/>
                <w:color w:val="FFFFFF"/>
                <w:sz w:val="20"/>
                <w:szCs w:val="20"/>
              </w:rPr>
              <w:t xml:space="preserve"> / </w:t>
            </w:r>
            <w:proofErr w:type="spellStart"/>
            <w:r>
              <w:rPr>
                <w:b/>
                <w:bCs/>
                <w:color w:val="FFFFFF"/>
                <w:sz w:val="20"/>
                <w:szCs w:val="20"/>
              </w:rPr>
              <w:t>Nuremberg</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7E4" w14:textId="77777777" w:rsidR="00804D20" w:rsidRDefault="00B968B3">
            <w:pPr>
              <w:spacing w:before="40" w:after="40"/>
              <w:jc w:val="center"/>
            </w:pPr>
            <w:proofErr w:type="spellStart"/>
            <w:r>
              <w:rPr>
                <w:b/>
                <w:bCs/>
                <w:color w:val="FFFFFF"/>
                <w:sz w:val="20"/>
                <w:szCs w:val="20"/>
              </w:rPr>
              <w:t>Holodomor</w:t>
            </w:r>
            <w:proofErr w:type="spellEnd"/>
            <w:r>
              <w:rPr>
                <w:b/>
                <w:bCs/>
                <w:color w:val="FFFFFF"/>
                <w:sz w:val="20"/>
                <w:szCs w:val="20"/>
              </w:rPr>
              <w:t xml:space="preserve"> / No Trial</w:t>
            </w:r>
          </w:p>
        </w:tc>
      </w:tr>
      <w:tr w:rsidR="00804D20" w14:paraId="0249C7E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7E6" w14:textId="77777777" w:rsidR="00804D20" w:rsidRDefault="00B968B3">
            <w:pPr>
              <w:spacing w:before="40" w:after="40"/>
            </w:pPr>
            <w:r>
              <w:rPr>
                <w:b/>
                <w:bCs/>
                <w:color w:val="1B2A4A"/>
                <w:sz w:val="20"/>
                <w:szCs w:val="20"/>
              </w:rPr>
              <w:t>Period</w:t>
            </w:r>
          </w:p>
        </w:tc>
        <w:tc>
          <w:tcPr>
            <w:tcW w:w="348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7E7" w14:textId="77777777" w:rsidR="00804D20" w:rsidRDefault="00B968B3">
            <w:pPr>
              <w:spacing w:before="40" w:after="40"/>
            </w:pPr>
            <w:r>
              <w:rPr>
                <w:color w:val="3C3C3C"/>
                <w:sz w:val="20"/>
                <w:szCs w:val="20"/>
              </w:rPr>
              <w:t>1933–1945</w:t>
            </w:r>
          </w:p>
        </w:tc>
        <w:tc>
          <w:tcPr>
            <w:tcW w:w="348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7E8" w14:textId="77777777" w:rsidR="00804D20" w:rsidRDefault="00B968B3">
            <w:pPr>
              <w:spacing w:before="40" w:after="40"/>
            </w:pPr>
            <w:r>
              <w:rPr>
                <w:color w:val="3C3C3C"/>
                <w:sz w:val="20"/>
                <w:szCs w:val="20"/>
              </w:rPr>
              <w:t>1932–1933</w:t>
            </w:r>
          </w:p>
        </w:tc>
      </w:tr>
      <w:tr w:rsidR="00804D20" w14:paraId="0249C7E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7EA" w14:textId="77777777" w:rsidR="00804D20" w:rsidRDefault="00B968B3">
            <w:pPr>
              <w:spacing w:before="40" w:after="40"/>
            </w:pPr>
            <w:r>
              <w:rPr>
                <w:b/>
                <w:bCs/>
                <w:color w:val="1B2A4A"/>
                <w:sz w:val="20"/>
                <w:szCs w:val="20"/>
              </w:rPr>
              <w:t xml:space="preserve">Death </w:t>
            </w:r>
            <w:proofErr w:type="spellStart"/>
            <w:r>
              <w:rPr>
                <w:b/>
                <w:bCs/>
                <w:color w:val="1B2A4A"/>
                <w:sz w:val="20"/>
                <w:szCs w:val="20"/>
              </w:rPr>
              <w:t>toll</w:t>
            </w:r>
            <w:proofErr w:type="spellEnd"/>
            <w:r>
              <w:rPr>
                <w:b/>
                <w:bCs/>
                <w:color w:val="1B2A4A"/>
                <w:sz w:val="20"/>
                <w:szCs w:val="20"/>
              </w:rPr>
              <w:t xml:space="preserve"> (est.)</w:t>
            </w:r>
          </w:p>
        </w:tc>
        <w:tc>
          <w:tcPr>
            <w:tcW w:w="348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7EB" w14:textId="77777777" w:rsidR="00804D20" w:rsidRDefault="00B968B3">
            <w:pPr>
              <w:spacing w:before="40" w:after="40"/>
            </w:pPr>
            <w:r>
              <w:rPr>
                <w:color w:val="3C3C3C"/>
                <w:sz w:val="20"/>
                <w:szCs w:val="20"/>
              </w:rPr>
              <w:t xml:space="preserve">6 </w:t>
            </w:r>
            <w:proofErr w:type="spellStart"/>
            <w:r>
              <w:rPr>
                <w:color w:val="3C3C3C"/>
                <w:sz w:val="20"/>
                <w:szCs w:val="20"/>
              </w:rPr>
              <w:t>million</w:t>
            </w:r>
            <w:proofErr w:type="spellEnd"/>
            <w:r>
              <w:rPr>
                <w:color w:val="3C3C3C"/>
                <w:sz w:val="20"/>
                <w:szCs w:val="20"/>
              </w:rPr>
              <w:t xml:space="preserve"> Jews; 11–17 </w:t>
            </w:r>
            <w:proofErr w:type="spellStart"/>
            <w:r>
              <w:rPr>
                <w:color w:val="3C3C3C"/>
                <w:sz w:val="20"/>
                <w:szCs w:val="20"/>
              </w:rPr>
              <w:t>million</w:t>
            </w:r>
            <w:proofErr w:type="spellEnd"/>
            <w:r>
              <w:rPr>
                <w:color w:val="3C3C3C"/>
                <w:sz w:val="20"/>
                <w:szCs w:val="20"/>
              </w:rPr>
              <w:t xml:space="preserve"> </w:t>
            </w:r>
            <w:proofErr w:type="spellStart"/>
            <w:r>
              <w:rPr>
                <w:color w:val="3C3C3C"/>
                <w:sz w:val="20"/>
                <w:szCs w:val="20"/>
              </w:rPr>
              <w:t>total</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7EC" w14:textId="77777777" w:rsidR="00804D20" w:rsidRDefault="00B968B3">
            <w:pPr>
              <w:spacing w:before="40" w:after="40"/>
            </w:pPr>
            <w:r>
              <w:rPr>
                <w:color w:val="3C3C3C"/>
                <w:sz w:val="20"/>
                <w:szCs w:val="20"/>
              </w:rPr>
              <w:t xml:space="preserve">3.9–10 </w:t>
            </w:r>
            <w:proofErr w:type="spellStart"/>
            <w:r>
              <w:rPr>
                <w:color w:val="3C3C3C"/>
                <w:sz w:val="20"/>
                <w:szCs w:val="20"/>
              </w:rPr>
              <w:t>million</w:t>
            </w:r>
            <w:proofErr w:type="spellEnd"/>
            <w:r>
              <w:rPr>
                <w:color w:val="3C3C3C"/>
                <w:sz w:val="20"/>
                <w:szCs w:val="20"/>
              </w:rPr>
              <w:t xml:space="preserve"> </w:t>
            </w:r>
            <w:proofErr w:type="spellStart"/>
            <w:r>
              <w:rPr>
                <w:color w:val="3C3C3C"/>
                <w:sz w:val="20"/>
                <w:szCs w:val="20"/>
              </w:rPr>
              <w:t>Ukrainians</w:t>
            </w:r>
            <w:proofErr w:type="spellEnd"/>
          </w:p>
        </w:tc>
      </w:tr>
      <w:tr w:rsidR="00804D20" w:rsidRPr="006D27E0" w14:paraId="0249C7F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7EE" w14:textId="77777777" w:rsidR="00804D20" w:rsidRDefault="00B968B3">
            <w:pPr>
              <w:spacing w:before="40" w:after="40"/>
            </w:pPr>
            <w:proofErr w:type="spellStart"/>
            <w:r>
              <w:rPr>
                <w:b/>
                <w:bCs/>
                <w:color w:val="1B2A4A"/>
                <w:sz w:val="20"/>
                <w:szCs w:val="20"/>
              </w:rPr>
              <w:t>Mechanism</w:t>
            </w:r>
            <w:proofErr w:type="spellEnd"/>
            <w:r>
              <w:rPr>
                <w:b/>
                <w:bCs/>
                <w:color w:val="1B2A4A"/>
                <w:sz w:val="20"/>
                <w:szCs w:val="20"/>
              </w:rPr>
              <w:t xml:space="preserve"> of </w:t>
            </w:r>
            <w:proofErr w:type="spellStart"/>
            <w:r>
              <w:rPr>
                <w:b/>
                <w:bCs/>
                <w:color w:val="1B2A4A"/>
                <w:sz w:val="20"/>
                <w:szCs w:val="20"/>
              </w:rPr>
              <w:t>killing</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7EF" w14:textId="77777777" w:rsidR="00804D20" w:rsidRPr="006D27E0" w:rsidRDefault="00B968B3">
            <w:pPr>
              <w:spacing w:before="40" w:after="40"/>
              <w:rPr>
                <w:lang w:val="en-US"/>
              </w:rPr>
            </w:pPr>
            <w:r w:rsidRPr="006D27E0">
              <w:rPr>
                <w:color w:val="3C3C3C"/>
                <w:sz w:val="20"/>
                <w:szCs w:val="20"/>
                <w:lang w:val="en-US"/>
              </w:rPr>
              <w:t>Direct: gas chambers, mass shootings, starvation in camps</w:t>
            </w:r>
          </w:p>
        </w:tc>
        <w:tc>
          <w:tcPr>
            <w:tcW w:w="348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7F0" w14:textId="77777777" w:rsidR="00804D20" w:rsidRPr="006D27E0" w:rsidRDefault="00B968B3">
            <w:pPr>
              <w:spacing w:before="40" w:after="40"/>
              <w:rPr>
                <w:lang w:val="en-US"/>
              </w:rPr>
            </w:pPr>
            <w:r w:rsidRPr="006D27E0">
              <w:rPr>
                <w:color w:val="3C3C3C"/>
                <w:sz w:val="20"/>
                <w:szCs w:val="20"/>
                <w:lang w:val="en-US"/>
              </w:rPr>
              <w:t>Structural: food confiscation, border blockade, enforced starvation</w:t>
            </w:r>
          </w:p>
        </w:tc>
      </w:tr>
      <w:tr w:rsidR="00804D20" w:rsidRPr="006D27E0" w14:paraId="0249C7F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7F2" w14:textId="77777777" w:rsidR="00804D20" w:rsidRDefault="00B968B3">
            <w:pPr>
              <w:spacing w:before="40" w:after="40"/>
            </w:pPr>
            <w:proofErr w:type="spellStart"/>
            <w:r>
              <w:rPr>
                <w:b/>
                <w:bCs/>
                <w:color w:val="1B2A4A"/>
                <w:sz w:val="20"/>
                <w:szCs w:val="20"/>
              </w:rPr>
              <w:t>Perpetrating</w:t>
            </w:r>
            <w:proofErr w:type="spellEnd"/>
            <w:r>
              <w:rPr>
                <w:b/>
                <w:bCs/>
                <w:color w:val="1B2A4A"/>
                <w:sz w:val="20"/>
                <w:szCs w:val="20"/>
              </w:rPr>
              <w:t xml:space="preserve"> state </w:t>
            </w:r>
            <w:proofErr w:type="spellStart"/>
            <w:r>
              <w:rPr>
                <w:b/>
                <w:bCs/>
                <w:color w:val="1B2A4A"/>
                <w:sz w:val="20"/>
                <w:szCs w:val="20"/>
              </w:rPr>
              <w:t>at</w:t>
            </w:r>
            <w:proofErr w:type="spellEnd"/>
            <w:r>
              <w:rPr>
                <w:b/>
                <w:bCs/>
                <w:color w:val="1B2A4A"/>
                <w:sz w:val="20"/>
                <w:szCs w:val="20"/>
              </w:rPr>
              <w:t xml:space="preserve"> trial</w:t>
            </w:r>
          </w:p>
        </w:tc>
        <w:tc>
          <w:tcPr>
            <w:tcW w:w="348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7F3" w14:textId="77777777" w:rsidR="00804D20" w:rsidRPr="006D27E0" w:rsidRDefault="00B968B3">
            <w:pPr>
              <w:spacing w:before="40" w:after="40"/>
              <w:rPr>
                <w:lang w:val="en-US"/>
              </w:rPr>
            </w:pPr>
            <w:r w:rsidRPr="006D27E0">
              <w:rPr>
                <w:color w:val="3C3C3C"/>
                <w:sz w:val="20"/>
                <w:szCs w:val="20"/>
                <w:lang w:val="en-US"/>
              </w:rPr>
              <w:t>Defeated, occupied Germany — no state sovereignty</w:t>
            </w:r>
          </w:p>
        </w:tc>
        <w:tc>
          <w:tcPr>
            <w:tcW w:w="348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7F4" w14:textId="77777777" w:rsidR="00804D20" w:rsidRPr="006D27E0" w:rsidRDefault="00B968B3">
            <w:pPr>
              <w:spacing w:before="40" w:after="40"/>
              <w:rPr>
                <w:lang w:val="en-US"/>
              </w:rPr>
            </w:pPr>
            <w:r w:rsidRPr="006D27E0">
              <w:rPr>
                <w:color w:val="3C3C3C"/>
                <w:sz w:val="20"/>
                <w:szCs w:val="20"/>
                <w:lang w:val="en-US"/>
              </w:rPr>
              <w:t>Victorious USSR — permanent Security Council member</w:t>
            </w:r>
          </w:p>
        </w:tc>
      </w:tr>
      <w:tr w:rsidR="00804D20" w14:paraId="0249C7F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7F6" w14:textId="77777777" w:rsidR="00804D20" w:rsidRPr="006D27E0" w:rsidRDefault="00B968B3">
            <w:pPr>
              <w:spacing w:before="40" w:after="40"/>
              <w:rPr>
                <w:lang w:val="en-US"/>
              </w:rPr>
            </w:pPr>
            <w:r w:rsidRPr="006D27E0">
              <w:rPr>
                <w:b/>
                <w:bCs/>
                <w:color w:val="1B2A4A"/>
                <w:sz w:val="20"/>
                <w:szCs w:val="20"/>
                <w:lang w:val="en-US"/>
              </w:rPr>
              <w:t>Time between crime and trial</w:t>
            </w:r>
          </w:p>
        </w:tc>
        <w:tc>
          <w:tcPr>
            <w:tcW w:w="348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7F7" w14:textId="77777777" w:rsidR="00804D20" w:rsidRDefault="00B968B3">
            <w:pPr>
              <w:spacing w:before="40" w:after="40"/>
            </w:pPr>
            <w:r>
              <w:rPr>
                <w:color w:val="3C3C3C"/>
                <w:sz w:val="20"/>
                <w:szCs w:val="20"/>
              </w:rPr>
              <w:t xml:space="preserve">~2–5 </w:t>
            </w:r>
            <w:proofErr w:type="spellStart"/>
            <w:r>
              <w:rPr>
                <w:color w:val="3C3C3C"/>
                <w:sz w:val="20"/>
                <w:szCs w:val="20"/>
              </w:rPr>
              <w:t>years</w:t>
            </w:r>
            <w:proofErr w:type="spellEnd"/>
            <w:r>
              <w:rPr>
                <w:color w:val="3C3C3C"/>
                <w:sz w:val="20"/>
                <w:szCs w:val="20"/>
              </w:rPr>
              <w:t xml:space="preserve"> (1945–1946)</w:t>
            </w:r>
          </w:p>
        </w:tc>
        <w:tc>
          <w:tcPr>
            <w:tcW w:w="348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7F8" w14:textId="77777777" w:rsidR="00804D20" w:rsidRDefault="00B968B3">
            <w:pPr>
              <w:spacing w:before="40" w:after="40"/>
            </w:pPr>
            <w:r>
              <w:rPr>
                <w:color w:val="3C3C3C"/>
                <w:sz w:val="20"/>
                <w:szCs w:val="20"/>
              </w:rPr>
              <w:t xml:space="preserve">~77 </w:t>
            </w:r>
            <w:proofErr w:type="spellStart"/>
            <w:r>
              <w:rPr>
                <w:color w:val="3C3C3C"/>
                <w:sz w:val="20"/>
                <w:szCs w:val="20"/>
              </w:rPr>
              <w:t>years</w:t>
            </w:r>
            <w:proofErr w:type="spellEnd"/>
            <w:r>
              <w:rPr>
                <w:color w:val="3C3C3C"/>
                <w:sz w:val="20"/>
                <w:szCs w:val="20"/>
              </w:rPr>
              <w:t xml:space="preserve"> (</w:t>
            </w:r>
            <w:proofErr w:type="spellStart"/>
            <w:r>
              <w:rPr>
                <w:color w:val="3C3C3C"/>
                <w:sz w:val="20"/>
                <w:szCs w:val="20"/>
              </w:rPr>
              <w:t>partial</w:t>
            </w:r>
            <w:proofErr w:type="spellEnd"/>
            <w:r>
              <w:rPr>
                <w:color w:val="3C3C3C"/>
                <w:sz w:val="20"/>
                <w:szCs w:val="20"/>
              </w:rPr>
              <w:t xml:space="preserve"> </w:t>
            </w:r>
            <w:proofErr w:type="spellStart"/>
            <w:r>
              <w:rPr>
                <w:color w:val="3C3C3C"/>
                <w:sz w:val="20"/>
                <w:szCs w:val="20"/>
              </w:rPr>
              <w:t>posthumous</w:t>
            </w:r>
            <w:proofErr w:type="spellEnd"/>
            <w:r>
              <w:rPr>
                <w:color w:val="3C3C3C"/>
                <w:sz w:val="20"/>
                <w:szCs w:val="20"/>
              </w:rPr>
              <w:t>, 2009–2010)</w:t>
            </w:r>
          </w:p>
        </w:tc>
      </w:tr>
      <w:tr w:rsidR="00804D20" w:rsidRPr="006D27E0" w14:paraId="0249C7F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7FA" w14:textId="77777777" w:rsidR="00804D20" w:rsidRDefault="00B968B3">
            <w:pPr>
              <w:spacing w:before="40" w:after="40"/>
            </w:pPr>
            <w:r>
              <w:rPr>
                <w:b/>
                <w:bCs/>
                <w:color w:val="1B2A4A"/>
                <w:sz w:val="20"/>
                <w:szCs w:val="20"/>
              </w:rPr>
              <w:t xml:space="preserve">International </w:t>
            </w:r>
            <w:proofErr w:type="spellStart"/>
            <w:r>
              <w:rPr>
                <w:b/>
                <w:bCs/>
                <w:color w:val="1B2A4A"/>
                <w:sz w:val="20"/>
                <w:szCs w:val="20"/>
              </w:rPr>
              <w:t>legal</w:t>
            </w:r>
            <w:proofErr w:type="spellEnd"/>
            <w:r>
              <w:rPr>
                <w:b/>
                <w:bCs/>
                <w:color w:val="1B2A4A"/>
                <w:sz w:val="20"/>
                <w:szCs w:val="20"/>
              </w:rPr>
              <w:t xml:space="preserve"> </w:t>
            </w:r>
            <w:proofErr w:type="spellStart"/>
            <w:r>
              <w:rPr>
                <w:b/>
                <w:bCs/>
                <w:color w:val="1B2A4A"/>
                <w:sz w:val="20"/>
                <w:szCs w:val="20"/>
              </w:rPr>
              <w:t>basis</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7FB" w14:textId="77777777" w:rsidR="00804D20" w:rsidRPr="006D27E0" w:rsidRDefault="00B968B3">
            <w:pPr>
              <w:spacing w:before="40" w:after="40"/>
              <w:rPr>
                <w:lang w:val="en-US"/>
              </w:rPr>
            </w:pPr>
            <w:r w:rsidRPr="006D27E0">
              <w:rPr>
                <w:color w:val="3C3C3C"/>
                <w:sz w:val="20"/>
                <w:szCs w:val="20"/>
                <w:lang w:val="en-US"/>
              </w:rPr>
              <w:t>London Charter, Article 6 — created ex ante</w:t>
            </w:r>
          </w:p>
        </w:tc>
        <w:tc>
          <w:tcPr>
            <w:tcW w:w="348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7FC" w14:textId="77777777" w:rsidR="00804D20" w:rsidRPr="006D27E0" w:rsidRDefault="00B968B3">
            <w:pPr>
              <w:spacing w:before="40" w:after="40"/>
              <w:rPr>
                <w:lang w:val="en-US"/>
              </w:rPr>
            </w:pPr>
            <w:r w:rsidRPr="006D27E0">
              <w:rPr>
                <w:color w:val="3C3C3C"/>
                <w:sz w:val="20"/>
                <w:szCs w:val="20"/>
                <w:lang w:val="en-US"/>
              </w:rPr>
              <w:t>None operative at time; Genocide Convention enacted 1948 (after the crime)</w:t>
            </w:r>
          </w:p>
        </w:tc>
      </w:tr>
      <w:tr w:rsidR="00804D20" w:rsidRPr="006D27E0" w14:paraId="0249C80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7FE" w14:textId="77777777" w:rsidR="00804D20" w:rsidRDefault="00B968B3">
            <w:pPr>
              <w:spacing w:before="40" w:after="40"/>
            </w:pPr>
            <w:proofErr w:type="spellStart"/>
            <w:r>
              <w:rPr>
                <w:b/>
                <w:bCs/>
                <w:color w:val="1B2A4A"/>
                <w:sz w:val="20"/>
                <w:szCs w:val="20"/>
              </w:rPr>
              <w:t>Principal</w:t>
            </w:r>
            <w:proofErr w:type="spellEnd"/>
            <w:r>
              <w:rPr>
                <w:b/>
                <w:bCs/>
                <w:color w:val="1B2A4A"/>
                <w:sz w:val="20"/>
                <w:szCs w:val="20"/>
              </w:rPr>
              <w:t xml:space="preserve"> </w:t>
            </w:r>
            <w:proofErr w:type="spellStart"/>
            <w:r>
              <w:rPr>
                <w:b/>
                <w:bCs/>
                <w:color w:val="1B2A4A"/>
                <w:sz w:val="20"/>
                <w:szCs w:val="20"/>
              </w:rPr>
              <w:t>defendants</w:t>
            </w:r>
            <w:proofErr w:type="spellEnd"/>
            <w:r>
              <w:rPr>
                <w:b/>
                <w:bCs/>
                <w:color w:val="1B2A4A"/>
                <w:sz w:val="20"/>
                <w:szCs w:val="20"/>
              </w:rPr>
              <w:t xml:space="preserve"> </w:t>
            </w:r>
            <w:proofErr w:type="spellStart"/>
            <w:r>
              <w:rPr>
                <w:b/>
                <w:bCs/>
                <w:color w:val="1B2A4A"/>
                <w:sz w:val="20"/>
                <w:szCs w:val="20"/>
              </w:rPr>
              <w:t>tried</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7FF" w14:textId="77777777" w:rsidR="00804D20" w:rsidRDefault="00B968B3">
            <w:pPr>
              <w:spacing w:before="40" w:after="40"/>
            </w:pPr>
            <w:r>
              <w:rPr>
                <w:color w:val="3C3C3C"/>
                <w:sz w:val="20"/>
                <w:szCs w:val="20"/>
              </w:rPr>
              <w:t xml:space="preserve">22 IMT + 177 </w:t>
            </w:r>
            <w:proofErr w:type="spellStart"/>
            <w:r>
              <w:rPr>
                <w:color w:val="3C3C3C"/>
                <w:sz w:val="20"/>
                <w:szCs w:val="20"/>
              </w:rPr>
              <w:t>subsequent</w:t>
            </w:r>
            <w:proofErr w:type="spellEnd"/>
            <w:r>
              <w:rPr>
                <w:color w:val="3C3C3C"/>
                <w:sz w:val="20"/>
                <w:szCs w:val="20"/>
              </w:rPr>
              <w:t xml:space="preserve"> (199 </w:t>
            </w:r>
            <w:proofErr w:type="spellStart"/>
            <w:r>
              <w:rPr>
                <w:color w:val="3C3C3C"/>
                <w:sz w:val="20"/>
                <w:szCs w:val="20"/>
              </w:rPr>
              <w:t>total</w:t>
            </w:r>
            <w:proofErr w:type="spellEnd"/>
            <w:r>
              <w:rPr>
                <w:color w:val="3C3C3C"/>
                <w:sz w:val="20"/>
                <w:szCs w:val="20"/>
              </w:rPr>
              <w:t>)</w:t>
            </w:r>
          </w:p>
        </w:tc>
        <w:tc>
          <w:tcPr>
            <w:tcW w:w="348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800" w14:textId="77777777" w:rsidR="00804D20" w:rsidRPr="006D27E0" w:rsidRDefault="00B968B3">
            <w:pPr>
              <w:spacing w:before="40" w:after="40"/>
              <w:rPr>
                <w:lang w:val="en-US"/>
              </w:rPr>
            </w:pPr>
            <w:r w:rsidRPr="006D27E0">
              <w:rPr>
                <w:color w:val="3C3C3C"/>
                <w:sz w:val="20"/>
                <w:szCs w:val="20"/>
                <w:lang w:val="en-US"/>
              </w:rPr>
              <w:t>0 (all dead by time of Ukrainian proceedings)</w:t>
            </w:r>
          </w:p>
        </w:tc>
      </w:tr>
      <w:tr w:rsidR="00804D20" w14:paraId="0249C80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02" w14:textId="77777777" w:rsidR="00804D20" w:rsidRDefault="00B968B3">
            <w:pPr>
              <w:spacing w:before="40" w:after="40"/>
            </w:pPr>
            <w:r>
              <w:rPr>
                <w:b/>
                <w:bCs/>
                <w:color w:val="1B2A4A"/>
                <w:sz w:val="20"/>
                <w:szCs w:val="20"/>
              </w:rPr>
              <w:t xml:space="preserve">Death </w:t>
            </w:r>
            <w:proofErr w:type="spellStart"/>
            <w:r>
              <w:rPr>
                <w:b/>
                <w:bCs/>
                <w:color w:val="1B2A4A"/>
                <w:sz w:val="20"/>
                <w:szCs w:val="20"/>
              </w:rPr>
              <w:t>sentences</w:t>
            </w:r>
            <w:proofErr w:type="spellEnd"/>
            <w:r>
              <w:rPr>
                <w:b/>
                <w:bCs/>
                <w:color w:val="1B2A4A"/>
                <w:sz w:val="20"/>
                <w:szCs w:val="20"/>
              </w:rPr>
              <w:t xml:space="preserve"> </w:t>
            </w:r>
            <w:proofErr w:type="spellStart"/>
            <w:r>
              <w:rPr>
                <w:b/>
                <w:bCs/>
                <w:color w:val="1B2A4A"/>
                <w:sz w:val="20"/>
                <w:szCs w:val="20"/>
              </w:rPr>
              <w:t>imposed</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03" w14:textId="77777777" w:rsidR="00804D20" w:rsidRDefault="00B968B3">
            <w:pPr>
              <w:spacing w:before="40" w:after="40"/>
            </w:pPr>
            <w:r>
              <w:rPr>
                <w:color w:val="3C3C3C"/>
                <w:sz w:val="20"/>
                <w:szCs w:val="20"/>
              </w:rPr>
              <w:t xml:space="preserve">12 IMT + 24 </w:t>
            </w:r>
            <w:proofErr w:type="spellStart"/>
            <w:r>
              <w:rPr>
                <w:color w:val="3C3C3C"/>
                <w:sz w:val="20"/>
                <w:szCs w:val="20"/>
              </w:rPr>
              <w:t>subsequent</w:t>
            </w:r>
            <w:proofErr w:type="spellEnd"/>
            <w:r>
              <w:rPr>
                <w:color w:val="3C3C3C"/>
                <w:sz w:val="20"/>
                <w:szCs w:val="20"/>
              </w:rPr>
              <w:t xml:space="preserve"> (36 </w:t>
            </w:r>
            <w:proofErr w:type="spellStart"/>
            <w:r>
              <w:rPr>
                <w:color w:val="3C3C3C"/>
                <w:sz w:val="20"/>
                <w:szCs w:val="20"/>
              </w:rPr>
              <w:t>total</w:t>
            </w:r>
            <w:proofErr w:type="spellEnd"/>
            <w:r>
              <w:rPr>
                <w:color w:val="3C3C3C"/>
                <w:sz w:val="20"/>
                <w:szCs w:val="20"/>
              </w:rPr>
              <w:t xml:space="preserve">, 23 </w:t>
            </w:r>
            <w:proofErr w:type="spellStart"/>
            <w:r>
              <w:rPr>
                <w:color w:val="3C3C3C"/>
                <w:sz w:val="20"/>
                <w:szCs w:val="20"/>
              </w:rPr>
              <w:t>executed</w:t>
            </w:r>
            <w:proofErr w:type="spellEnd"/>
            <w:r>
              <w:rPr>
                <w:color w:val="3C3C3C"/>
                <w:sz w:val="20"/>
                <w:szCs w:val="20"/>
              </w:rPr>
              <w:t>)</w:t>
            </w:r>
          </w:p>
        </w:tc>
        <w:tc>
          <w:tcPr>
            <w:tcW w:w="348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04" w14:textId="77777777" w:rsidR="00804D20" w:rsidRDefault="00B968B3">
            <w:pPr>
              <w:spacing w:before="40" w:after="40"/>
            </w:pPr>
            <w:r>
              <w:rPr>
                <w:color w:val="3C3C3C"/>
                <w:sz w:val="20"/>
                <w:szCs w:val="20"/>
              </w:rPr>
              <w:t>0</w:t>
            </w:r>
          </w:p>
        </w:tc>
      </w:tr>
      <w:tr w:rsidR="00804D20" w:rsidRPr="006D27E0" w14:paraId="0249C80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806" w14:textId="77777777" w:rsidR="00804D20" w:rsidRDefault="00B968B3">
            <w:pPr>
              <w:spacing w:before="40" w:after="40"/>
            </w:pPr>
            <w:r>
              <w:rPr>
                <w:b/>
                <w:bCs/>
                <w:color w:val="1B2A4A"/>
                <w:sz w:val="20"/>
                <w:szCs w:val="20"/>
              </w:rPr>
              <w:t xml:space="preserve">Key </w:t>
            </w:r>
            <w:proofErr w:type="spellStart"/>
            <w:r>
              <w:rPr>
                <w:b/>
                <w:bCs/>
                <w:color w:val="1B2A4A"/>
                <w:sz w:val="20"/>
                <w:szCs w:val="20"/>
              </w:rPr>
              <w:t>legal</w:t>
            </w:r>
            <w:proofErr w:type="spellEnd"/>
            <w:r>
              <w:rPr>
                <w:b/>
                <w:bCs/>
                <w:color w:val="1B2A4A"/>
                <w:sz w:val="20"/>
                <w:szCs w:val="20"/>
              </w:rPr>
              <w:t xml:space="preserve"> </w:t>
            </w:r>
            <w:proofErr w:type="spellStart"/>
            <w:r>
              <w:rPr>
                <w:b/>
                <w:bCs/>
                <w:color w:val="1B2A4A"/>
                <w:sz w:val="20"/>
                <w:szCs w:val="20"/>
              </w:rPr>
              <w:t>criterion</w:t>
            </w:r>
            <w:proofErr w:type="spellEnd"/>
            <w:r>
              <w:rPr>
                <w:b/>
                <w:bCs/>
                <w:color w:val="1B2A4A"/>
                <w:sz w:val="20"/>
                <w:szCs w:val="20"/>
              </w:rPr>
              <w:t xml:space="preserve"> </w:t>
            </w:r>
            <w:proofErr w:type="spellStart"/>
            <w:r>
              <w:rPr>
                <w:b/>
                <w:bCs/>
                <w:color w:val="1B2A4A"/>
                <w:sz w:val="20"/>
                <w:szCs w:val="20"/>
              </w:rPr>
              <w:t>applied</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807" w14:textId="77777777" w:rsidR="00804D20" w:rsidRPr="006D27E0" w:rsidRDefault="00B968B3">
            <w:pPr>
              <w:spacing w:before="40" w:after="40"/>
              <w:rPr>
                <w:lang w:val="en-US"/>
              </w:rPr>
            </w:pPr>
            <w:r w:rsidRPr="006D27E0">
              <w:rPr>
                <w:color w:val="3C3C3C"/>
                <w:sz w:val="20"/>
                <w:szCs w:val="20"/>
                <w:lang w:val="en-US"/>
              </w:rPr>
              <w:t>Proximity to mass murder; personal command responsibility</w:t>
            </w:r>
          </w:p>
        </w:tc>
        <w:tc>
          <w:tcPr>
            <w:tcW w:w="348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808" w14:textId="77777777" w:rsidR="00804D20" w:rsidRPr="006D27E0" w:rsidRDefault="00B968B3">
            <w:pPr>
              <w:spacing w:before="40" w:after="40"/>
              <w:rPr>
                <w:lang w:val="en-US"/>
              </w:rPr>
            </w:pPr>
            <w:r w:rsidRPr="006D27E0">
              <w:rPr>
                <w:color w:val="3C3C3C"/>
                <w:sz w:val="20"/>
                <w:szCs w:val="20"/>
                <w:lang w:val="en-US"/>
              </w:rPr>
              <w:t>N/A — never adjudicated by international court</w:t>
            </w:r>
          </w:p>
        </w:tc>
      </w:tr>
      <w:tr w:rsidR="00804D20" w:rsidRPr="006D27E0" w14:paraId="0249C80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0A" w14:textId="77777777" w:rsidR="00804D20" w:rsidRDefault="00B968B3">
            <w:pPr>
              <w:spacing w:before="40" w:after="40"/>
            </w:pPr>
            <w:proofErr w:type="spellStart"/>
            <w:r>
              <w:rPr>
                <w:b/>
                <w:bCs/>
                <w:color w:val="1B2A4A"/>
                <w:sz w:val="20"/>
                <w:szCs w:val="20"/>
              </w:rPr>
              <w:t>Evidence</w:t>
            </w:r>
            <w:proofErr w:type="spellEnd"/>
            <w:r>
              <w:rPr>
                <w:b/>
                <w:bCs/>
                <w:color w:val="1B2A4A"/>
                <w:sz w:val="20"/>
                <w:szCs w:val="20"/>
              </w:rPr>
              <w:t xml:space="preserve"> of </w:t>
            </w:r>
            <w:proofErr w:type="spellStart"/>
            <w:r>
              <w:rPr>
                <w:b/>
                <w:bCs/>
                <w:color w:val="1B2A4A"/>
                <w:sz w:val="20"/>
                <w:szCs w:val="20"/>
              </w:rPr>
              <w:t>intent</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0B" w14:textId="77777777" w:rsidR="00804D20" w:rsidRPr="006D27E0" w:rsidRDefault="00B968B3">
            <w:pPr>
              <w:spacing w:before="40" w:after="40"/>
              <w:rPr>
                <w:lang w:val="en-US"/>
              </w:rPr>
            </w:pPr>
            <w:r w:rsidRPr="006D27E0">
              <w:rPr>
                <w:color w:val="3C3C3C"/>
                <w:sz w:val="20"/>
                <w:szCs w:val="20"/>
                <w:lang w:val="en-US"/>
              </w:rPr>
              <w:t>Written orders, Wannsee Conference protocols, survivor testimony</w:t>
            </w:r>
          </w:p>
        </w:tc>
        <w:tc>
          <w:tcPr>
            <w:tcW w:w="348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0C" w14:textId="77777777" w:rsidR="00804D20" w:rsidRPr="006D27E0" w:rsidRDefault="00B968B3">
            <w:pPr>
              <w:spacing w:before="40" w:after="40"/>
              <w:rPr>
                <w:lang w:val="en-US"/>
              </w:rPr>
            </w:pPr>
            <w:r w:rsidRPr="006D27E0">
              <w:rPr>
                <w:color w:val="3C3C3C"/>
                <w:sz w:val="20"/>
                <w:szCs w:val="20"/>
                <w:lang w:val="en-US"/>
              </w:rPr>
              <w:t>Politburo directives, grain confiscation records, border blockade orders — equally conclusive</w:t>
            </w:r>
          </w:p>
        </w:tc>
      </w:tr>
      <w:tr w:rsidR="00804D20" w:rsidRPr="006D27E0" w14:paraId="0249C81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80E" w14:textId="77777777" w:rsidR="00804D20" w:rsidRDefault="00B968B3">
            <w:pPr>
              <w:spacing w:before="40" w:after="40"/>
            </w:pPr>
            <w:r>
              <w:rPr>
                <w:b/>
                <w:bCs/>
                <w:color w:val="1B2A4A"/>
                <w:sz w:val="20"/>
                <w:szCs w:val="20"/>
              </w:rPr>
              <w:t xml:space="preserve">International </w:t>
            </w:r>
            <w:proofErr w:type="spellStart"/>
            <w:r>
              <w:rPr>
                <w:b/>
                <w:bCs/>
                <w:color w:val="1B2A4A"/>
                <w:sz w:val="20"/>
                <w:szCs w:val="20"/>
              </w:rPr>
              <w:t>recognition</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80F" w14:textId="77777777" w:rsidR="00804D20" w:rsidRPr="006D27E0" w:rsidRDefault="00B968B3">
            <w:pPr>
              <w:spacing w:before="40" w:after="40"/>
              <w:rPr>
                <w:lang w:val="en-US"/>
              </w:rPr>
            </w:pPr>
            <w:r w:rsidRPr="006D27E0">
              <w:rPr>
                <w:color w:val="3C3C3C"/>
                <w:sz w:val="20"/>
                <w:szCs w:val="20"/>
                <w:lang w:val="en-US"/>
              </w:rPr>
              <w:t>Universal — foundational to international criminal law</w:t>
            </w:r>
          </w:p>
        </w:tc>
        <w:tc>
          <w:tcPr>
            <w:tcW w:w="348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810" w14:textId="77777777" w:rsidR="00804D20" w:rsidRPr="006D27E0" w:rsidRDefault="00B968B3">
            <w:pPr>
              <w:spacing w:before="40" w:after="40"/>
              <w:rPr>
                <w:lang w:val="en-US"/>
              </w:rPr>
            </w:pPr>
            <w:r w:rsidRPr="006D27E0">
              <w:rPr>
                <w:color w:val="3C3C3C"/>
                <w:sz w:val="20"/>
                <w:szCs w:val="20"/>
                <w:lang w:val="en-US"/>
              </w:rPr>
              <w:t>Recognised as genocide by ~35 states; Russia continues to deny</w:t>
            </w:r>
          </w:p>
        </w:tc>
      </w:tr>
      <w:tr w:rsidR="00804D20" w:rsidRPr="006D27E0" w14:paraId="0249C81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12" w14:textId="77777777" w:rsidR="00804D20" w:rsidRDefault="00B968B3">
            <w:pPr>
              <w:spacing w:before="40" w:after="40"/>
            </w:pPr>
            <w:r>
              <w:rPr>
                <w:b/>
                <w:bCs/>
                <w:color w:val="1B2A4A"/>
                <w:sz w:val="20"/>
                <w:szCs w:val="20"/>
              </w:rPr>
              <w:lastRenderedPageBreak/>
              <w:t xml:space="preserve">Legacy for </w:t>
            </w:r>
            <w:proofErr w:type="spellStart"/>
            <w:r>
              <w:rPr>
                <w:b/>
                <w:bCs/>
                <w:color w:val="1B2A4A"/>
                <w:sz w:val="20"/>
                <w:szCs w:val="20"/>
              </w:rPr>
              <w:t>law</w:t>
            </w:r>
            <w:proofErr w:type="spellEnd"/>
          </w:p>
        </w:tc>
        <w:tc>
          <w:tcPr>
            <w:tcW w:w="348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13" w14:textId="77777777" w:rsidR="00804D20" w:rsidRPr="006D27E0" w:rsidRDefault="00B968B3">
            <w:pPr>
              <w:spacing w:before="40" w:after="40"/>
              <w:rPr>
                <w:lang w:val="en-US"/>
              </w:rPr>
            </w:pPr>
            <w:r w:rsidRPr="006D27E0">
              <w:rPr>
                <w:color w:val="3C3C3C"/>
                <w:sz w:val="20"/>
                <w:szCs w:val="20"/>
                <w:lang w:val="en-US"/>
              </w:rPr>
              <w:t>Nuremberg Principles; ICC Statute; crimes against humanity doctrine</w:t>
            </w:r>
          </w:p>
        </w:tc>
        <w:tc>
          <w:tcPr>
            <w:tcW w:w="348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14" w14:textId="77777777" w:rsidR="00804D20" w:rsidRPr="006D27E0" w:rsidRDefault="00B968B3">
            <w:pPr>
              <w:spacing w:before="40" w:after="40"/>
              <w:rPr>
                <w:lang w:val="en-US"/>
              </w:rPr>
            </w:pPr>
            <w:r w:rsidRPr="006D27E0">
              <w:rPr>
                <w:color w:val="3C3C3C"/>
                <w:sz w:val="20"/>
                <w:szCs w:val="20"/>
                <w:lang w:val="en-US"/>
              </w:rPr>
              <w:t>Unresolved; highlights structural gap in accountability for famine-genocide</w:t>
            </w:r>
          </w:p>
        </w:tc>
      </w:tr>
    </w:tbl>
    <w:p w14:paraId="0249C816" w14:textId="77777777" w:rsidR="00804D20" w:rsidRPr="006D27E0" w:rsidRDefault="00804D20">
      <w:pPr>
        <w:spacing w:before="200"/>
        <w:rPr>
          <w:lang w:val="en-US"/>
        </w:rPr>
      </w:pPr>
    </w:p>
    <w:p w14:paraId="0249C817" w14:textId="77777777" w:rsidR="00804D20" w:rsidRPr="006D27E0" w:rsidRDefault="00B968B3">
      <w:pPr>
        <w:pStyle w:val="Heading2"/>
        <w:rPr>
          <w:lang w:val="en-US"/>
        </w:rPr>
      </w:pPr>
      <w:r w:rsidRPr="006D27E0">
        <w:rPr>
          <w:lang w:val="en-US"/>
        </w:rPr>
        <w:t>3.2  The Critical Legal Distinction: Mechanism Does Not Determine Culpability</w:t>
      </w:r>
    </w:p>
    <w:p w14:paraId="0249C818" w14:textId="77777777" w:rsidR="00804D20" w:rsidRPr="006D27E0" w:rsidRDefault="00B968B3">
      <w:pPr>
        <w:spacing w:before="100" w:after="100"/>
        <w:jc w:val="both"/>
        <w:rPr>
          <w:lang w:val="en-US"/>
        </w:rPr>
      </w:pPr>
      <w:r w:rsidRPr="006D27E0">
        <w:rPr>
          <w:color w:val="3C3C3C"/>
          <w:lang w:val="en-US"/>
        </w:rPr>
        <w:t>The single most important comparative legal finding of this analysis is this: the difference in killing mechanism between the Holocaust and the Holodomor has no bearing on the legal culpability of their architects under the Nuremberg principles and the subsequent development of international criminal law.</w:t>
      </w:r>
    </w:p>
    <w:p w14:paraId="0249C819" w14:textId="77777777" w:rsidR="00804D20" w:rsidRPr="006D27E0" w:rsidRDefault="00B968B3">
      <w:pPr>
        <w:spacing w:before="100" w:after="100"/>
        <w:jc w:val="both"/>
        <w:rPr>
          <w:lang w:val="en-US"/>
        </w:rPr>
      </w:pPr>
      <w:r w:rsidRPr="006D27E0">
        <w:rPr>
          <w:color w:val="3C3C3C"/>
          <w:lang w:val="en-US"/>
        </w:rPr>
        <w:t>At Nuremberg, the crime of artificially inducing mass death through the systematic withdrawal of survival conditions was already explicitly enumerated in the definition of Crimes Against Humanity: 'extermination, enslavement, deportation... and other inhumane acts committed against any civilian population.' The Holodomor — enforced starvation of a defined national group through deliberate state policy — satisfies every element of this definition. The documentary evidence of intent is equally strong: the Pol</w:t>
      </w:r>
      <w:r w:rsidRPr="006D27E0">
        <w:rPr>
          <w:color w:val="3C3C3C"/>
          <w:lang w:val="en-US"/>
        </w:rPr>
        <w:t>itburo directives, grain procurement quotas, border blockade orders, and blacklisting records demonstrate the same quality of deliberate state planning as the Wannsee Conference protocols.</w:t>
      </w:r>
    </w:p>
    <w:p w14:paraId="0249C81A" w14:textId="77777777" w:rsidR="00804D20" w:rsidRPr="006D27E0" w:rsidRDefault="00B968B3">
      <w:pPr>
        <w:spacing w:before="100" w:after="100"/>
        <w:jc w:val="both"/>
        <w:rPr>
          <w:lang w:val="en-US"/>
        </w:rPr>
      </w:pPr>
      <w:r w:rsidRPr="006D27E0">
        <w:rPr>
          <w:color w:val="3C3C3C"/>
          <w:lang w:val="en-US"/>
        </w:rPr>
        <w:t>The Holodomor escaped accountability not because the law was inadequate, but because the perpetrating state survived and dominated the institutional architecture through which accountability could have been delivered. This is the structural gap that comparative analysis reveals: the Nuremberg model of accountability is contingent on the defeat and occupation of the perpetrating state. Where the state survives, the model fails.</w:t>
      </w:r>
    </w:p>
    <w:p w14:paraId="0249C81B" w14:textId="77777777" w:rsidR="00804D20" w:rsidRPr="006D27E0" w:rsidRDefault="00B968B3">
      <w:pPr>
        <w:pStyle w:val="Heading2"/>
        <w:rPr>
          <w:lang w:val="en-US"/>
        </w:rPr>
      </w:pPr>
      <w:r w:rsidRPr="006D27E0">
        <w:rPr>
          <w:lang w:val="en-US"/>
        </w:rPr>
        <w:t>3.3  The Shared Legal Kernel: Five Principles Applicable to Both</w:t>
      </w:r>
    </w:p>
    <w:p w14:paraId="0249C81C" w14:textId="77777777" w:rsidR="00804D20" w:rsidRPr="006D27E0" w:rsidRDefault="00B968B3">
      <w:pPr>
        <w:spacing w:before="100" w:after="100"/>
        <w:jc w:val="both"/>
        <w:rPr>
          <w:lang w:val="en-US"/>
        </w:rPr>
      </w:pPr>
      <w:r w:rsidRPr="006D27E0">
        <w:rPr>
          <w:color w:val="3C3C3C"/>
          <w:lang w:val="en-US"/>
        </w:rPr>
        <w:t>Stripped of their historical contingencies, the Holocaust and Holodomor cases together establish five principles that constitute the irreducible legal kernel of accountability for state-organised mass destruction:</w:t>
      </w:r>
    </w:p>
    <w:p w14:paraId="0249C81D"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I. </w:t>
      </w:r>
      <w:r w:rsidRPr="006D27E0">
        <w:rPr>
          <w:color w:val="3C3C3C"/>
          <w:sz w:val="21"/>
          <w:szCs w:val="21"/>
          <w:lang w:val="en-US"/>
        </w:rPr>
        <w:t>State-organised mass death is a crime under international law regardless of the legal framework operative at the time of commission, provided it satisfies the material and mental elements of crimes against humanity or genocide as subsequently codified.</w:t>
      </w:r>
    </w:p>
    <w:p w14:paraId="0249C81E"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II. </w:t>
      </w:r>
      <w:r w:rsidRPr="006D27E0">
        <w:rPr>
          <w:color w:val="3C3C3C"/>
          <w:sz w:val="21"/>
          <w:szCs w:val="21"/>
          <w:lang w:val="en-US"/>
        </w:rPr>
        <w:t>Individual criminal responsibility attaches to the principal architects of state policy producing mass death, regardless of their official position.</w:t>
      </w:r>
    </w:p>
    <w:p w14:paraId="0249C81F"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III. </w:t>
      </w:r>
      <w:r w:rsidRPr="006D27E0">
        <w:rPr>
          <w:color w:val="3C3C3C"/>
          <w:sz w:val="21"/>
          <w:szCs w:val="21"/>
          <w:lang w:val="en-US"/>
        </w:rPr>
        <w:t>The mechanism of killing — direct physical violence versus structural withdrawal of survival conditions — does not alter the legal characterisation of the crime, provided the intent to destroy a defined group or population is established.</w:t>
      </w:r>
    </w:p>
    <w:p w14:paraId="0249C820" w14:textId="77777777" w:rsidR="00804D20" w:rsidRDefault="00B968B3">
      <w:pPr>
        <w:pStyle w:val="ListParagraph"/>
        <w:numPr>
          <w:ilvl w:val="0"/>
          <w:numId w:val="2"/>
        </w:numPr>
        <w:spacing w:before="60" w:after="60"/>
      </w:pPr>
      <w:r w:rsidRPr="006D27E0">
        <w:rPr>
          <w:b/>
          <w:bCs/>
          <w:color w:val="1B2A4A"/>
          <w:sz w:val="21"/>
          <w:szCs w:val="21"/>
          <w:lang w:val="en-US"/>
        </w:rPr>
        <w:t xml:space="preserve">IV. </w:t>
      </w:r>
      <w:r w:rsidRPr="006D27E0">
        <w:rPr>
          <w:color w:val="3C3C3C"/>
          <w:sz w:val="21"/>
          <w:szCs w:val="21"/>
          <w:lang w:val="en-US"/>
        </w:rPr>
        <w:t xml:space="preserve">Accountability is contingent on institutional access to the perpetrators: where the perpetrating state survives and controls international institutions, the Nuremberg model fails and impunity results. </w:t>
      </w:r>
      <w:proofErr w:type="spellStart"/>
      <w:r>
        <w:rPr>
          <w:color w:val="3C3C3C"/>
          <w:sz w:val="21"/>
          <w:szCs w:val="21"/>
        </w:rPr>
        <w:t>This</w:t>
      </w:r>
      <w:proofErr w:type="spellEnd"/>
      <w:r>
        <w:rPr>
          <w:color w:val="3C3C3C"/>
          <w:sz w:val="21"/>
          <w:szCs w:val="21"/>
        </w:rPr>
        <w:t xml:space="preserve"> gap </w:t>
      </w:r>
      <w:proofErr w:type="spellStart"/>
      <w:r>
        <w:rPr>
          <w:color w:val="3C3C3C"/>
          <w:sz w:val="21"/>
          <w:szCs w:val="21"/>
        </w:rPr>
        <w:t>requires</w:t>
      </w:r>
      <w:proofErr w:type="spellEnd"/>
      <w:r>
        <w:rPr>
          <w:color w:val="3C3C3C"/>
          <w:sz w:val="21"/>
          <w:szCs w:val="21"/>
        </w:rPr>
        <w:t xml:space="preserve"> the </w:t>
      </w:r>
      <w:proofErr w:type="spellStart"/>
      <w:r>
        <w:rPr>
          <w:color w:val="3C3C3C"/>
          <w:sz w:val="21"/>
          <w:szCs w:val="21"/>
        </w:rPr>
        <w:t>development</w:t>
      </w:r>
      <w:proofErr w:type="spellEnd"/>
      <w:r>
        <w:rPr>
          <w:color w:val="3C3C3C"/>
          <w:sz w:val="21"/>
          <w:szCs w:val="21"/>
        </w:rPr>
        <w:t xml:space="preserve"> of alternative accountability </w:t>
      </w:r>
      <w:proofErr w:type="spellStart"/>
      <w:r>
        <w:rPr>
          <w:color w:val="3C3C3C"/>
          <w:sz w:val="21"/>
          <w:szCs w:val="21"/>
        </w:rPr>
        <w:t>mechanisms</w:t>
      </w:r>
      <w:proofErr w:type="spellEnd"/>
      <w:r>
        <w:rPr>
          <w:color w:val="3C3C3C"/>
          <w:sz w:val="21"/>
          <w:szCs w:val="21"/>
        </w:rPr>
        <w:t>.</w:t>
      </w:r>
    </w:p>
    <w:p w14:paraId="0249C821"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V. </w:t>
      </w:r>
      <w:r w:rsidRPr="006D27E0">
        <w:rPr>
          <w:color w:val="3C3C3C"/>
          <w:sz w:val="21"/>
          <w:szCs w:val="21"/>
          <w:lang w:val="en-US"/>
        </w:rPr>
        <w:t>Where criminal proceedings can no longer hold perpetrators to account, the court of history, legislative recognition, and prospective criminalisation of comparable conduct serve as partial substitutes for retroactive justice.</w:t>
      </w:r>
    </w:p>
    <w:p w14:paraId="0249C822" w14:textId="77777777" w:rsidR="00804D20" w:rsidRPr="006D27E0" w:rsidRDefault="00B968B3">
      <w:pPr>
        <w:pStyle w:val="Heading1"/>
        <w:pBdr>
          <w:bottom w:val="single" w:sz="6" w:space="4" w:color="B8972A"/>
        </w:pBdr>
        <w:rPr>
          <w:lang w:val="en-US"/>
        </w:rPr>
      </w:pPr>
      <w:r w:rsidRPr="006D27E0">
        <w:rPr>
          <w:lang w:val="en-US"/>
        </w:rPr>
        <w:lastRenderedPageBreak/>
        <w:t>Part IV — Holoviceosis: Definition, Mechanism, and Legal Classification</w:t>
      </w:r>
    </w:p>
    <w:p w14:paraId="0249C823" w14:textId="77777777" w:rsidR="00804D20" w:rsidRPr="006D27E0" w:rsidRDefault="00B968B3">
      <w:pPr>
        <w:pStyle w:val="Heading2"/>
        <w:rPr>
          <w:lang w:val="en-US"/>
        </w:rPr>
      </w:pPr>
      <w:r w:rsidRPr="006D27E0">
        <w:rPr>
          <w:lang w:val="en-US"/>
        </w:rPr>
        <w:t>4.1  The Three Formal Definitions</w:t>
      </w:r>
    </w:p>
    <w:p w14:paraId="0249C824" w14:textId="77777777" w:rsidR="00804D20" w:rsidRPr="006D27E0" w:rsidRDefault="00B968B3">
      <w:pPr>
        <w:spacing w:before="100" w:after="100"/>
        <w:jc w:val="both"/>
        <w:rPr>
          <w:lang w:val="en-US"/>
        </w:rPr>
      </w:pPr>
      <w:r w:rsidRPr="006D27E0">
        <w:rPr>
          <w:color w:val="3C3C3C"/>
          <w:lang w:val="en-US"/>
        </w:rPr>
        <w:t>Holoviceosis (Holoviceose) is a philosophical concept introduced by José Caetano de Mattos Neto in Filosofia das Virtudes — Manifesto das Virtudes (Rio de Janeiro, 2023). It receives three definitional formulations of increasing precision:</w:t>
      </w:r>
    </w:p>
    <w:p w14:paraId="0249C825" w14:textId="77777777" w:rsidR="00804D20" w:rsidRPr="006D27E0" w:rsidRDefault="00B968B3">
      <w:pPr>
        <w:pBdr>
          <w:left w:val="single" w:sz="12" w:space="8" w:color="B8972A"/>
        </w:pBdr>
        <w:spacing w:before="160" w:after="160"/>
        <w:ind w:left="720" w:right="720"/>
        <w:jc w:val="both"/>
        <w:rPr>
          <w:lang w:val="en-US"/>
        </w:rPr>
      </w:pPr>
      <w:r w:rsidRPr="006D27E0">
        <w:rPr>
          <w:i/>
          <w:iCs/>
          <w:color w:val="666666"/>
          <w:sz w:val="21"/>
          <w:szCs w:val="21"/>
          <w:lang w:val="en-US"/>
        </w:rPr>
        <w:t>Definition 1 (Structural Core): "Holoviceosis is the condition of death and subjugation of the people through the systematic replacement of Virtues by vices, in a process of contradictory coexistence necessary for the maintenance of the power system."</w:t>
      </w:r>
    </w:p>
    <w:p w14:paraId="0249C826" w14:textId="77777777" w:rsidR="00804D20" w:rsidRPr="006D27E0" w:rsidRDefault="00B968B3">
      <w:pPr>
        <w:pBdr>
          <w:left w:val="single" w:sz="12" w:space="8" w:color="B8972A"/>
        </w:pBdr>
        <w:spacing w:before="160" w:after="160"/>
        <w:ind w:left="720" w:right="720"/>
        <w:jc w:val="both"/>
        <w:rPr>
          <w:lang w:val="en-US"/>
        </w:rPr>
      </w:pPr>
      <w:r w:rsidRPr="006D27E0">
        <w:rPr>
          <w:i/>
          <w:iCs/>
          <w:color w:val="666666"/>
          <w:sz w:val="21"/>
          <w:szCs w:val="21"/>
          <w:lang w:val="en-US"/>
        </w:rPr>
        <w:t>Definition 2 (Dialectical Challenge): "In this condition, goodness and evil are not opposites, but rather the necessary elements to sustain the machinery of power. The system that encourages charity stimulates poverty."</w:t>
      </w:r>
    </w:p>
    <w:p w14:paraId="0249C827" w14:textId="77777777" w:rsidR="00804D20" w:rsidRPr="006D27E0" w:rsidRDefault="00B968B3">
      <w:pPr>
        <w:pBdr>
          <w:left w:val="single" w:sz="12" w:space="8" w:color="B8972A"/>
        </w:pBdr>
        <w:spacing w:before="160" w:after="160"/>
        <w:ind w:left="720" w:right="720"/>
        <w:jc w:val="both"/>
        <w:rPr>
          <w:lang w:val="en-US"/>
        </w:rPr>
      </w:pPr>
      <w:r w:rsidRPr="006D27E0">
        <w:rPr>
          <w:i/>
          <w:iCs/>
          <w:color w:val="666666"/>
          <w:sz w:val="21"/>
          <w:szCs w:val="21"/>
          <w:lang w:val="en-US"/>
        </w:rPr>
        <w:t>Definition 3 (Magnitude Claim): "Holoviceosis is the modern version of the Holocaust and the Holodomor in plain sight, where the extermination camp is found in highway accidents, hospital queues, homicides, child malnutrition, or disguised under any other social problem camouflage."</w:t>
      </w:r>
    </w:p>
    <w:p w14:paraId="0249C828" w14:textId="77777777" w:rsidR="00804D20" w:rsidRPr="006D27E0" w:rsidRDefault="00B968B3">
      <w:pPr>
        <w:spacing w:before="100" w:after="100"/>
        <w:jc w:val="both"/>
        <w:rPr>
          <w:lang w:val="en-US"/>
        </w:rPr>
      </w:pPr>
      <w:r w:rsidRPr="006D27E0">
        <w:rPr>
          <w:color w:val="3C3C3C"/>
          <w:lang w:val="en-US"/>
        </w:rPr>
        <w:t>Together, the three definitions establish: (a) a mechanism — systematic virtue-to-vice inversion; (b) a structural feature — the co-functioning of apparent good and real harm; (c) an outcome — mass preventable death and subjugation; and (d) a scale claim — comparable in aggregate mortality to the recognised genocides.</w:t>
      </w:r>
    </w:p>
    <w:p w14:paraId="0249C829" w14:textId="77777777" w:rsidR="00804D20" w:rsidRPr="006D27E0" w:rsidRDefault="00B968B3">
      <w:pPr>
        <w:pStyle w:val="Heading2"/>
        <w:rPr>
          <w:lang w:val="en-US"/>
        </w:rPr>
      </w:pPr>
      <w:r w:rsidRPr="006D27E0">
        <w:rPr>
          <w:lang w:val="en-US"/>
        </w:rPr>
        <w:t>4.2  The Conceptual Architecture</w:t>
      </w:r>
    </w:p>
    <w:p w14:paraId="0249C82A" w14:textId="77777777" w:rsidR="00804D20" w:rsidRPr="006D27E0" w:rsidRDefault="00B968B3">
      <w:pPr>
        <w:spacing w:before="100" w:after="100"/>
        <w:jc w:val="both"/>
        <w:rPr>
          <w:lang w:val="en-US"/>
        </w:rPr>
      </w:pPr>
      <w:r w:rsidRPr="006D27E0">
        <w:rPr>
          <w:color w:val="3C3C3C"/>
          <w:lang w:val="en-US"/>
        </w:rPr>
        <w:t>Holoviceosis does not stand alone. It is the terminal outcome of a three-stage theory:</w:t>
      </w:r>
    </w:p>
    <w:p w14:paraId="0249C82B"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Stage 1: </w:t>
      </w:r>
      <w:r w:rsidRPr="006D27E0">
        <w:rPr>
          <w:color w:val="3C3C3C"/>
          <w:sz w:val="21"/>
          <w:szCs w:val="21"/>
          <w:lang w:val="en-US"/>
        </w:rPr>
        <w:t>Reverse Ethics (Ética Reversa) — the planned, deliberate inversion of moral values: vices are reclassified as virtues; virtues are stigmatised as weaknesses or crimes. This is the mechanism operating at the cultural and individual level.</w:t>
      </w:r>
    </w:p>
    <w:p w14:paraId="0249C82C"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Stage 2: </w:t>
      </w:r>
      <w:r w:rsidRPr="006D27E0">
        <w:rPr>
          <w:color w:val="3C3C3C"/>
          <w:sz w:val="21"/>
          <w:szCs w:val="21"/>
          <w:lang w:val="en-US"/>
        </w:rPr>
        <w:t>Devirtualisation (Desvirtualização) — the sustained, organised deployment of Reverse Ethics across institutions, policy, media, and educational systems over time. This is the process at the societal and institutional level.</w:t>
      </w:r>
    </w:p>
    <w:p w14:paraId="0249C82D" w14:textId="77777777" w:rsidR="00804D20" w:rsidRDefault="00B968B3">
      <w:pPr>
        <w:pStyle w:val="ListParagraph"/>
        <w:numPr>
          <w:ilvl w:val="0"/>
          <w:numId w:val="2"/>
        </w:numPr>
        <w:spacing w:before="60" w:after="60"/>
      </w:pPr>
      <w:r w:rsidRPr="006D27E0">
        <w:rPr>
          <w:b/>
          <w:bCs/>
          <w:color w:val="1B2A4A"/>
          <w:sz w:val="21"/>
          <w:szCs w:val="21"/>
          <w:lang w:val="en-US"/>
        </w:rPr>
        <w:t xml:space="preserve">Stage 3: </w:t>
      </w:r>
      <w:r w:rsidRPr="006D27E0">
        <w:rPr>
          <w:color w:val="3C3C3C"/>
          <w:sz w:val="21"/>
          <w:szCs w:val="21"/>
          <w:lang w:val="en-US"/>
        </w:rPr>
        <w:t xml:space="preserve">Holoviceosis — the aggregate civilisational condition produced by sustained Devirtualisation: mass preventable death, erasure of the capacity for freedom, and the systemic maintenance of subjugation. </w:t>
      </w:r>
      <w:proofErr w:type="spellStart"/>
      <w:r>
        <w:rPr>
          <w:color w:val="3C3C3C"/>
          <w:sz w:val="21"/>
          <w:szCs w:val="21"/>
        </w:rPr>
        <w:t>This</w:t>
      </w:r>
      <w:proofErr w:type="spellEnd"/>
      <w:r>
        <w:rPr>
          <w:color w:val="3C3C3C"/>
          <w:sz w:val="21"/>
          <w:szCs w:val="21"/>
        </w:rPr>
        <w:t xml:space="preserve"> </w:t>
      </w:r>
      <w:proofErr w:type="spellStart"/>
      <w:r>
        <w:rPr>
          <w:color w:val="3C3C3C"/>
          <w:sz w:val="21"/>
          <w:szCs w:val="21"/>
        </w:rPr>
        <w:t>is</w:t>
      </w:r>
      <w:proofErr w:type="spellEnd"/>
      <w:r>
        <w:rPr>
          <w:color w:val="3C3C3C"/>
          <w:sz w:val="21"/>
          <w:szCs w:val="21"/>
        </w:rPr>
        <w:t xml:space="preserve"> the </w:t>
      </w:r>
      <w:proofErr w:type="spellStart"/>
      <w:r>
        <w:rPr>
          <w:color w:val="3C3C3C"/>
          <w:sz w:val="21"/>
          <w:szCs w:val="21"/>
        </w:rPr>
        <w:t>outcome</w:t>
      </w:r>
      <w:proofErr w:type="spellEnd"/>
      <w:r>
        <w:rPr>
          <w:color w:val="3C3C3C"/>
          <w:sz w:val="21"/>
          <w:szCs w:val="21"/>
        </w:rPr>
        <w:t xml:space="preserve"> </w:t>
      </w:r>
      <w:proofErr w:type="spellStart"/>
      <w:r>
        <w:rPr>
          <w:color w:val="3C3C3C"/>
          <w:sz w:val="21"/>
          <w:szCs w:val="21"/>
        </w:rPr>
        <w:t>at</w:t>
      </w:r>
      <w:proofErr w:type="spellEnd"/>
      <w:r>
        <w:rPr>
          <w:color w:val="3C3C3C"/>
          <w:sz w:val="21"/>
          <w:szCs w:val="21"/>
        </w:rPr>
        <w:t xml:space="preserve"> the macro-</w:t>
      </w:r>
      <w:proofErr w:type="spellStart"/>
      <w:r>
        <w:rPr>
          <w:color w:val="3C3C3C"/>
          <w:sz w:val="21"/>
          <w:szCs w:val="21"/>
        </w:rPr>
        <w:t>political</w:t>
      </w:r>
      <w:proofErr w:type="spellEnd"/>
      <w:r>
        <w:rPr>
          <w:color w:val="3C3C3C"/>
          <w:sz w:val="21"/>
          <w:szCs w:val="21"/>
        </w:rPr>
        <w:t xml:space="preserve"> </w:t>
      </w:r>
      <w:proofErr w:type="spellStart"/>
      <w:r>
        <w:rPr>
          <w:color w:val="3C3C3C"/>
          <w:sz w:val="21"/>
          <w:szCs w:val="21"/>
        </w:rPr>
        <w:t>level</w:t>
      </w:r>
      <w:proofErr w:type="spellEnd"/>
      <w:r>
        <w:rPr>
          <w:color w:val="3C3C3C"/>
          <w:sz w:val="21"/>
          <w:szCs w:val="21"/>
        </w:rPr>
        <w:t>.</w:t>
      </w:r>
    </w:p>
    <w:p w14:paraId="0249C82E" w14:textId="77777777" w:rsidR="00804D20" w:rsidRPr="006D27E0" w:rsidRDefault="00B968B3">
      <w:pPr>
        <w:spacing w:before="100" w:after="100"/>
        <w:jc w:val="both"/>
        <w:rPr>
          <w:lang w:val="en-US"/>
        </w:rPr>
      </w:pPr>
      <w:r w:rsidRPr="006D27E0">
        <w:rPr>
          <w:color w:val="3C3C3C"/>
          <w:lang w:val="en-US"/>
        </w:rPr>
        <w:t>The individual product of Holoviceosis is the Freedophobic Man (Homem Liberdofóbico): a person with an irrational aversion to freedom, incapable of perceiving their own subjugation, who passively accepts severe restrictions on their own liberty and aggressively enforces compliance in others. This is not moral vacancy (Arendt's 'banality of evil') but moral inversion: the Freedophobic Man believes he is promoting virtue while enforcing vice.</w:t>
      </w:r>
    </w:p>
    <w:p w14:paraId="0249C82F" w14:textId="77777777" w:rsidR="00804D20" w:rsidRPr="006D27E0" w:rsidRDefault="00B968B3">
      <w:pPr>
        <w:pStyle w:val="Heading2"/>
        <w:rPr>
          <w:lang w:val="en-US"/>
        </w:rPr>
      </w:pPr>
      <w:r w:rsidRPr="006D27E0">
        <w:rPr>
          <w:lang w:val="en-US"/>
        </w:rPr>
        <w:t>4.3  Holoviceosis in the Context of Existing Legal Concepts</w:t>
      </w:r>
    </w:p>
    <w:p w14:paraId="0249C830" w14:textId="77777777" w:rsidR="00804D20" w:rsidRPr="006D27E0" w:rsidRDefault="00B968B3">
      <w:pPr>
        <w:spacing w:before="100" w:after="100"/>
        <w:jc w:val="both"/>
        <w:rPr>
          <w:lang w:val="en-US"/>
        </w:rPr>
      </w:pPr>
      <w:r w:rsidRPr="006D27E0">
        <w:rPr>
          <w:color w:val="3C3C3C"/>
          <w:lang w:val="en-US"/>
        </w:rPr>
        <w:t>The legal classification of Holoviceosis requires situating it within the existing taxonomy of international crimes and human rights violations. The following comparative table maps Holoviceosis against the closest existing legal categories.</w:t>
      </w:r>
    </w:p>
    <w:p w14:paraId="0249C831" w14:textId="77777777" w:rsidR="00804D20" w:rsidRPr="006D27E0" w:rsidRDefault="00804D20">
      <w:pPr>
        <w:spacing w:before="120" w:after="12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2400"/>
        <w:gridCol w:w="2400"/>
        <w:gridCol w:w="2460"/>
      </w:tblGrid>
      <w:tr w:rsidR="00804D20" w14:paraId="0249C836" w14:textId="77777777">
        <w:tblPrEx>
          <w:tblCellMar>
            <w:top w:w="0" w:type="dxa"/>
            <w:bottom w:w="0" w:type="dxa"/>
          </w:tblCellMar>
        </w:tblPrEx>
        <w:trPr>
          <w:tblHeader/>
        </w:trPr>
        <w:tc>
          <w:tcPr>
            <w:tcW w:w="210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832" w14:textId="77777777" w:rsidR="00804D20" w:rsidRDefault="00B968B3">
            <w:pPr>
              <w:spacing w:before="40" w:after="40"/>
              <w:jc w:val="center"/>
            </w:pPr>
            <w:r>
              <w:rPr>
                <w:b/>
                <w:bCs/>
                <w:color w:val="FFFFFF"/>
                <w:sz w:val="20"/>
                <w:szCs w:val="20"/>
              </w:rPr>
              <w:t xml:space="preserve">Legal </w:t>
            </w:r>
            <w:proofErr w:type="spellStart"/>
            <w:r>
              <w:rPr>
                <w:b/>
                <w:bCs/>
                <w:color w:val="FFFFFF"/>
                <w:sz w:val="20"/>
                <w:szCs w:val="20"/>
              </w:rPr>
              <w:t>Category</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833" w14:textId="77777777" w:rsidR="00804D20" w:rsidRDefault="00B968B3">
            <w:pPr>
              <w:spacing w:before="40" w:after="40"/>
              <w:jc w:val="center"/>
            </w:pPr>
            <w:r>
              <w:rPr>
                <w:b/>
                <w:bCs/>
                <w:color w:val="FFFFFF"/>
                <w:sz w:val="20"/>
                <w:szCs w:val="20"/>
              </w:rPr>
              <w:t xml:space="preserve">Key </w:t>
            </w:r>
            <w:proofErr w:type="spellStart"/>
            <w:r>
              <w:rPr>
                <w:b/>
                <w:bCs/>
                <w:color w:val="FFFFFF"/>
                <w:sz w:val="20"/>
                <w:szCs w:val="20"/>
              </w:rPr>
              <w:t>Elements</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834" w14:textId="77777777" w:rsidR="00804D20" w:rsidRDefault="00B968B3">
            <w:pPr>
              <w:spacing w:before="40" w:after="40"/>
              <w:jc w:val="center"/>
            </w:pPr>
            <w:proofErr w:type="spellStart"/>
            <w:r>
              <w:rPr>
                <w:b/>
                <w:bCs/>
                <w:color w:val="FFFFFF"/>
                <w:sz w:val="20"/>
                <w:szCs w:val="20"/>
              </w:rPr>
              <w:t>Overlap</w:t>
            </w:r>
            <w:proofErr w:type="spellEnd"/>
            <w:r>
              <w:rPr>
                <w:b/>
                <w:bCs/>
                <w:color w:val="FFFFFF"/>
                <w:sz w:val="20"/>
                <w:szCs w:val="20"/>
              </w:rPr>
              <w:t xml:space="preserve"> with </w:t>
            </w:r>
            <w:proofErr w:type="spellStart"/>
            <w:r>
              <w:rPr>
                <w:b/>
                <w:bCs/>
                <w:color w:val="FFFFFF"/>
                <w:sz w:val="20"/>
                <w:szCs w:val="20"/>
              </w:rPr>
              <w:t>Holoviceosis</w:t>
            </w:r>
            <w:proofErr w:type="spellEnd"/>
          </w:p>
        </w:tc>
        <w:tc>
          <w:tcPr>
            <w:tcW w:w="246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835" w14:textId="77777777" w:rsidR="00804D20" w:rsidRDefault="00B968B3">
            <w:pPr>
              <w:spacing w:before="40" w:after="40"/>
              <w:jc w:val="center"/>
            </w:pPr>
            <w:r>
              <w:rPr>
                <w:b/>
                <w:bCs/>
                <w:color w:val="FFFFFF"/>
                <w:sz w:val="20"/>
                <w:szCs w:val="20"/>
              </w:rPr>
              <w:t xml:space="preserve">Gap / </w:t>
            </w:r>
            <w:proofErr w:type="spellStart"/>
            <w:r>
              <w:rPr>
                <w:b/>
                <w:bCs/>
                <w:color w:val="FFFFFF"/>
                <w:sz w:val="20"/>
                <w:szCs w:val="20"/>
              </w:rPr>
              <w:t>Distinction</w:t>
            </w:r>
            <w:proofErr w:type="spellEnd"/>
          </w:p>
        </w:tc>
      </w:tr>
      <w:tr w:rsidR="00804D20" w:rsidRPr="006D27E0" w14:paraId="0249C83B"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D5E0F0"/>
            <w:tcMar>
              <w:top w:w="80" w:type="dxa"/>
              <w:left w:w="120" w:type="dxa"/>
              <w:bottom w:w="80" w:type="dxa"/>
              <w:right w:w="120" w:type="dxa"/>
            </w:tcMar>
          </w:tcPr>
          <w:p w14:paraId="0249C837" w14:textId="77777777" w:rsidR="00804D20" w:rsidRPr="006D27E0" w:rsidRDefault="00B968B3">
            <w:pPr>
              <w:spacing w:before="40" w:after="40"/>
              <w:rPr>
                <w:lang w:val="en-US"/>
              </w:rPr>
            </w:pPr>
            <w:r w:rsidRPr="006D27E0">
              <w:rPr>
                <w:b/>
                <w:bCs/>
                <w:color w:val="1B2A4A"/>
                <w:sz w:val="19"/>
                <w:szCs w:val="19"/>
                <w:lang w:val="en-US"/>
              </w:rPr>
              <w:t>Crimes Against Humanity (ICC Statute, Art. 7)</w:t>
            </w:r>
          </w:p>
        </w:tc>
        <w:tc>
          <w:tcPr>
            <w:tcW w:w="24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38" w14:textId="77777777" w:rsidR="00804D20" w:rsidRPr="006D27E0" w:rsidRDefault="00B968B3">
            <w:pPr>
              <w:spacing w:before="40" w:after="40"/>
              <w:rPr>
                <w:lang w:val="en-US"/>
              </w:rPr>
            </w:pPr>
            <w:r w:rsidRPr="006D27E0">
              <w:rPr>
                <w:color w:val="3C3C3C"/>
                <w:sz w:val="19"/>
                <w:szCs w:val="19"/>
                <w:lang w:val="en-US"/>
              </w:rPr>
              <w:t>Widespread/systematic attack against civilian population; enumerated acts including extermination, persecution, and other inhumane acts</w:t>
            </w:r>
          </w:p>
        </w:tc>
        <w:tc>
          <w:tcPr>
            <w:tcW w:w="24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39" w14:textId="77777777" w:rsidR="00804D20" w:rsidRPr="006D27E0" w:rsidRDefault="00B968B3">
            <w:pPr>
              <w:spacing w:before="40" w:after="40"/>
              <w:rPr>
                <w:lang w:val="en-US"/>
              </w:rPr>
            </w:pPr>
            <w:r w:rsidRPr="006D27E0">
              <w:rPr>
                <w:color w:val="3C3C3C"/>
                <w:sz w:val="19"/>
                <w:szCs w:val="19"/>
                <w:lang w:val="en-US"/>
              </w:rPr>
              <w:t>Mass preventable death; systematic and deliberate character; population-level harm; diffuse 'other inhumane acts'</w:t>
            </w:r>
          </w:p>
        </w:tc>
        <w:tc>
          <w:tcPr>
            <w:tcW w:w="24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3A" w14:textId="77777777" w:rsidR="00804D20" w:rsidRPr="006D27E0" w:rsidRDefault="00B968B3">
            <w:pPr>
              <w:spacing w:before="40" w:after="40"/>
              <w:rPr>
                <w:lang w:val="en-US"/>
              </w:rPr>
            </w:pPr>
            <w:r w:rsidRPr="006D27E0">
              <w:rPr>
                <w:color w:val="3C3C3C"/>
                <w:sz w:val="19"/>
                <w:szCs w:val="19"/>
                <w:lang w:val="en-US"/>
              </w:rPr>
              <w:t>Holoviceosis lacks kinetic directness; harm is structurally mediated through vice-promotion rather than direct attack</w:t>
            </w:r>
          </w:p>
        </w:tc>
      </w:tr>
      <w:tr w:rsidR="00804D20" w:rsidRPr="006D27E0" w14:paraId="0249C840"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E8EEF8"/>
            <w:tcMar>
              <w:top w:w="80" w:type="dxa"/>
              <w:left w:w="120" w:type="dxa"/>
              <w:bottom w:w="80" w:type="dxa"/>
              <w:right w:w="120" w:type="dxa"/>
            </w:tcMar>
          </w:tcPr>
          <w:p w14:paraId="0249C83C" w14:textId="77777777" w:rsidR="00804D20" w:rsidRDefault="00B968B3">
            <w:pPr>
              <w:spacing w:before="40" w:after="40"/>
            </w:pPr>
            <w:r>
              <w:rPr>
                <w:b/>
                <w:bCs/>
                <w:color w:val="1B2A4A"/>
                <w:sz w:val="19"/>
                <w:szCs w:val="19"/>
              </w:rPr>
              <w:t>Genocide (1948 Convention)</w:t>
            </w:r>
          </w:p>
        </w:tc>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3D" w14:textId="77777777" w:rsidR="00804D20" w:rsidRPr="006D27E0" w:rsidRDefault="00B968B3">
            <w:pPr>
              <w:spacing w:before="40" w:after="40"/>
              <w:rPr>
                <w:lang w:val="en-US"/>
              </w:rPr>
            </w:pPr>
            <w:r w:rsidRPr="006D27E0">
              <w:rPr>
                <w:color w:val="3C3C3C"/>
                <w:sz w:val="19"/>
                <w:szCs w:val="19"/>
                <w:lang w:val="en-US"/>
              </w:rPr>
              <w:t>Acts committed with intent to destroy, in whole or in part, a national, ethnic, racial or religious group</w:t>
            </w:r>
          </w:p>
        </w:tc>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3E" w14:textId="77777777" w:rsidR="00804D20" w:rsidRPr="006D27E0" w:rsidRDefault="00B968B3">
            <w:pPr>
              <w:spacing w:before="40" w:after="40"/>
              <w:rPr>
                <w:lang w:val="en-US"/>
              </w:rPr>
            </w:pPr>
            <w:r w:rsidRPr="006D27E0">
              <w:rPr>
                <w:color w:val="3C3C3C"/>
                <w:sz w:val="19"/>
                <w:szCs w:val="19"/>
                <w:lang w:val="en-US"/>
              </w:rPr>
              <w:t>Intentional destruction of group capacity; conditions of life calculated to bring about physical destruction</w:t>
            </w:r>
          </w:p>
        </w:tc>
        <w:tc>
          <w:tcPr>
            <w:tcW w:w="24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3F" w14:textId="77777777" w:rsidR="00804D20" w:rsidRPr="006D27E0" w:rsidRDefault="00B968B3">
            <w:pPr>
              <w:spacing w:before="40" w:after="40"/>
              <w:rPr>
                <w:lang w:val="en-US"/>
              </w:rPr>
            </w:pPr>
            <w:r w:rsidRPr="006D27E0">
              <w:rPr>
                <w:color w:val="3C3C3C"/>
                <w:sz w:val="19"/>
                <w:szCs w:val="19"/>
                <w:lang w:val="en-US"/>
              </w:rPr>
              <w:t>Holoviceosis targets moral/political subjugation of all populations, not a specific group; intent requirement may be harder to establish</w:t>
            </w:r>
          </w:p>
        </w:tc>
      </w:tr>
      <w:tr w:rsidR="00804D20" w:rsidRPr="006D27E0" w14:paraId="0249C845"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D5E0F0"/>
            <w:tcMar>
              <w:top w:w="80" w:type="dxa"/>
              <w:left w:w="120" w:type="dxa"/>
              <w:bottom w:w="80" w:type="dxa"/>
              <w:right w:w="120" w:type="dxa"/>
            </w:tcMar>
          </w:tcPr>
          <w:p w14:paraId="0249C841" w14:textId="77777777" w:rsidR="00804D20" w:rsidRDefault="00B968B3">
            <w:pPr>
              <w:spacing w:before="40" w:after="40"/>
            </w:pPr>
            <w:proofErr w:type="spellStart"/>
            <w:r>
              <w:rPr>
                <w:b/>
                <w:bCs/>
                <w:color w:val="1B2A4A"/>
                <w:sz w:val="19"/>
                <w:szCs w:val="19"/>
              </w:rPr>
              <w:t>Structural</w:t>
            </w:r>
            <w:proofErr w:type="spellEnd"/>
            <w:r>
              <w:rPr>
                <w:b/>
                <w:bCs/>
                <w:color w:val="1B2A4A"/>
                <w:sz w:val="19"/>
                <w:szCs w:val="19"/>
              </w:rPr>
              <w:t xml:space="preserve"> </w:t>
            </w:r>
            <w:proofErr w:type="spellStart"/>
            <w:r>
              <w:rPr>
                <w:b/>
                <w:bCs/>
                <w:color w:val="1B2A4A"/>
                <w:sz w:val="19"/>
                <w:szCs w:val="19"/>
              </w:rPr>
              <w:t>Violence</w:t>
            </w:r>
            <w:proofErr w:type="spellEnd"/>
            <w:r>
              <w:rPr>
                <w:b/>
                <w:bCs/>
                <w:color w:val="1B2A4A"/>
                <w:sz w:val="19"/>
                <w:szCs w:val="19"/>
              </w:rPr>
              <w:t xml:space="preserve"> (Galtung, 1969)</w:t>
            </w:r>
          </w:p>
        </w:tc>
        <w:tc>
          <w:tcPr>
            <w:tcW w:w="24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42" w14:textId="77777777" w:rsidR="00804D20" w:rsidRPr="006D27E0" w:rsidRDefault="00B968B3">
            <w:pPr>
              <w:spacing w:before="40" w:after="40"/>
              <w:rPr>
                <w:lang w:val="en-US"/>
              </w:rPr>
            </w:pPr>
            <w:r w:rsidRPr="006D27E0">
              <w:rPr>
                <w:color w:val="3C3C3C"/>
                <w:sz w:val="19"/>
                <w:szCs w:val="19"/>
                <w:lang w:val="en-US"/>
              </w:rPr>
              <w:t>Mass harm caused by social structures, institutions, and systems rather than direct personal violence; poverty, inequality, preventable disease</w:t>
            </w:r>
          </w:p>
        </w:tc>
        <w:tc>
          <w:tcPr>
            <w:tcW w:w="24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43" w14:textId="77777777" w:rsidR="00804D20" w:rsidRPr="006D27E0" w:rsidRDefault="00B968B3">
            <w:pPr>
              <w:spacing w:before="40" w:after="40"/>
              <w:rPr>
                <w:lang w:val="en-US"/>
              </w:rPr>
            </w:pPr>
            <w:r w:rsidRPr="006D27E0">
              <w:rPr>
                <w:color w:val="3C3C3C"/>
                <w:sz w:val="19"/>
                <w:szCs w:val="19"/>
                <w:lang w:val="en-US"/>
              </w:rPr>
              <w:t>Diffuse mass death through social mechanisms; moral attributability to the system; invisibility of the mechanism</w:t>
            </w:r>
          </w:p>
        </w:tc>
        <w:tc>
          <w:tcPr>
            <w:tcW w:w="24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44" w14:textId="77777777" w:rsidR="00804D20" w:rsidRPr="006D27E0" w:rsidRDefault="00B968B3">
            <w:pPr>
              <w:spacing w:before="40" w:after="40"/>
              <w:rPr>
                <w:lang w:val="en-US"/>
              </w:rPr>
            </w:pPr>
            <w:r w:rsidRPr="006D27E0">
              <w:rPr>
                <w:color w:val="3C3C3C"/>
                <w:sz w:val="19"/>
                <w:szCs w:val="19"/>
                <w:lang w:val="en-US"/>
              </w:rPr>
              <w:t>Galtung's framework is explicitly non-intentional; Holoviceosis claims deliberate agency behind the inversion — this is the critical distinction for criminal law</w:t>
            </w:r>
          </w:p>
        </w:tc>
      </w:tr>
      <w:tr w:rsidR="00804D20" w:rsidRPr="006D27E0" w14:paraId="0249C84A"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E8EEF8"/>
            <w:tcMar>
              <w:top w:w="80" w:type="dxa"/>
              <w:left w:w="120" w:type="dxa"/>
              <w:bottom w:w="80" w:type="dxa"/>
              <w:right w:w="120" w:type="dxa"/>
            </w:tcMar>
          </w:tcPr>
          <w:p w14:paraId="0249C846" w14:textId="77777777" w:rsidR="00804D20" w:rsidRDefault="00B968B3">
            <w:pPr>
              <w:spacing w:before="40" w:after="40"/>
            </w:pPr>
            <w:r>
              <w:rPr>
                <w:b/>
                <w:bCs/>
                <w:color w:val="1B2A4A"/>
                <w:sz w:val="19"/>
                <w:szCs w:val="19"/>
              </w:rPr>
              <w:t xml:space="preserve">Cultural Genocide / </w:t>
            </w:r>
            <w:proofErr w:type="spellStart"/>
            <w:r>
              <w:rPr>
                <w:b/>
                <w:bCs/>
                <w:color w:val="1B2A4A"/>
                <w:sz w:val="19"/>
                <w:szCs w:val="19"/>
              </w:rPr>
              <w:t>Ethnocide</w:t>
            </w:r>
            <w:proofErr w:type="spellEnd"/>
          </w:p>
        </w:tc>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47" w14:textId="77777777" w:rsidR="00804D20" w:rsidRPr="006D27E0" w:rsidRDefault="00B968B3">
            <w:pPr>
              <w:spacing w:before="40" w:after="40"/>
              <w:rPr>
                <w:lang w:val="en-US"/>
              </w:rPr>
            </w:pPr>
            <w:r w:rsidRPr="006D27E0">
              <w:rPr>
                <w:color w:val="3C3C3C"/>
                <w:sz w:val="19"/>
                <w:szCs w:val="19"/>
                <w:lang w:val="en-US"/>
              </w:rPr>
              <w:t>Systematic destruction of cultural practices, language, religion, or identity of a group</w:t>
            </w:r>
          </w:p>
        </w:tc>
        <w:tc>
          <w:tcPr>
            <w:tcW w:w="24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48" w14:textId="77777777" w:rsidR="00804D20" w:rsidRPr="006D27E0" w:rsidRDefault="00B968B3">
            <w:pPr>
              <w:spacing w:before="40" w:after="40"/>
              <w:rPr>
                <w:lang w:val="en-US"/>
              </w:rPr>
            </w:pPr>
            <w:r w:rsidRPr="006D27E0">
              <w:rPr>
                <w:color w:val="3C3C3C"/>
                <w:sz w:val="19"/>
                <w:szCs w:val="19"/>
                <w:lang w:val="en-US"/>
              </w:rPr>
              <w:t>Deliberate cultural inversion (Reverse Ethics); destruction of moral identity and capacity for freedom</w:t>
            </w:r>
          </w:p>
        </w:tc>
        <w:tc>
          <w:tcPr>
            <w:tcW w:w="24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49" w14:textId="77777777" w:rsidR="00804D20" w:rsidRPr="006D27E0" w:rsidRDefault="00B968B3">
            <w:pPr>
              <w:spacing w:before="40" w:after="40"/>
              <w:rPr>
                <w:lang w:val="en-US"/>
              </w:rPr>
            </w:pPr>
            <w:r w:rsidRPr="006D27E0">
              <w:rPr>
                <w:color w:val="3C3C3C"/>
                <w:sz w:val="19"/>
                <w:szCs w:val="19"/>
                <w:lang w:val="en-US"/>
              </w:rPr>
              <w:t>International law does not currently recognise cultural genocide as a criminal offence; Holoviceosis extends beyond culture to produce physical mortality</w:t>
            </w:r>
          </w:p>
        </w:tc>
      </w:tr>
      <w:tr w:rsidR="00804D20" w:rsidRPr="006D27E0" w14:paraId="0249C84F"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D5E0F0"/>
            <w:tcMar>
              <w:top w:w="80" w:type="dxa"/>
              <w:left w:w="120" w:type="dxa"/>
              <w:bottom w:w="80" w:type="dxa"/>
              <w:right w:w="120" w:type="dxa"/>
            </w:tcMar>
          </w:tcPr>
          <w:p w14:paraId="0249C84B" w14:textId="77777777" w:rsidR="00804D20" w:rsidRDefault="00B968B3">
            <w:pPr>
              <w:spacing w:before="40" w:after="40"/>
            </w:pPr>
            <w:proofErr w:type="spellStart"/>
            <w:r>
              <w:rPr>
                <w:b/>
                <w:bCs/>
                <w:color w:val="1B2A4A"/>
                <w:sz w:val="19"/>
                <w:szCs w:val="19"/>
              </w:rPr>
              <w:t>Hybrid</w:t>
            </w:r>
            <w:proofErr w:type="spellEnd"/>
            <w:r>
              <w:rPr>
                <w:b/>
                <w:bCs/>
                <w:color w:val="1B2A4A"/>
                <w:sz w:val="19"/>
                <w:szCs w:val="19"/>
              </w:rPr>
              <w:t xml:space="preserve"> </w:t>
            </w:r>
            <w:proofErr w:type="spellStart"/>
            <w:r>
              <w:rPr>
                <w:b/>
                <w:bCs/>
                <w:color w:val="1B2A4A"/>
                <w:sz w:val="19"/>
                <w:szCs w:val="19"/>
              </w:rPr>
              <w:t>Warfare</w:t>
            </w:r>
            <w:proofErr w:type="spellEnd"/>
            <w:r>
              <w:rPr>
                <w:b/>
                <w:bCs/>
                <w:color w:val="1B2A4A"/>
                <w:sz w:val="19"/>
                <w:szCs w:val="19"/>
              </w:rPr>
              <w:t xml:space="preserve"> (</w:t>
            </w:r>
            <w:proofErr w:type="spellStart"/>
            <w:r>
              <w:rPr>
                <w:b/>
                <w:bCs/>
                <w:color w:val="1B2A4A"/>
                <w:sz w:val="19"/>
                <w:szCs w:val="19"/>
              </w:rPr>
              <w:t>emerging</w:t>
            </w:r>
            <w:proofErr w:type="spellEnd"/>
            <w:r>
              <w:rPr>
                <w:b/>
                <w:bCs/>
                <w:color w:val="1B2A4A"/>
                <w:sz w:val="19"/>
                <w:szCs w:val="19"/>
              </w:rPr>
              <w:t xml:space="preserve"> </w:t>
            </w:r>
            <w:proofErr w:type="spellStart"/>
            <w:r>
              <w:rPr>
                <w:b/>
                <w:bCs/>
                <w:color w:val="1B2A4A"/>
                <w:sz w:val="19"/>
                <w:szCs w:val="19"/>
              </w:rPr>
              <w:t>doctrine</w:t>
            </w:r>
            <w:proofErr w:type="spellEnd"/>
            <w:r>
              <w:rPr>
                <w:b/>
                <w:bCs/>
                <w:color w:val="1B2A4A"/>
                <w:sz w:val="19"/>
                <w:szCs w:val="19"/>
              </w:rPr>
              <w:t>)</w:t>
            </w:r>
          </w:p>
        </w:tc>
        <w:tc>
          <w:tcPr>
            <w:tcW w:w="24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4C" w14:textId="77777777" w:rsidR="00804D20" w:rsidRPr="006D27E0" w:rsidRDefault="00B968B3">
            <w:pPr>
              <w:spacing w:before="40" w:after="40"/>
              <w:rPr>
                <w:lang w:val="en-US"/>
              </w:rPr>
            </w:pPr>
            <w:r w:rsidRPr="006D27E0">
              <w:rPr>
                <w:color w:val="3C3C3C"/>
                <w:sz w:val="19"/>
                <w:szCs w:val="19"/>
                <w:lang w:val="en-US"/>
              </w:rPr>
              <w:t>Use of non-military tools — information, economic, cultural, and legal — to attack an adversary state and its population below the threshold of armed conflict</w:t>
            </w:r>
          </w:p>
        </w:tc>
        <w:tc>
          <w:tcPr>
            <w:tcW w:w="240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4D" w14:textId="77777777" w:rsidR="00804D20" w:rsidRPr="006D27E0" w:rsidRDefault="00B968B3">
            <w:pPr>
              <w:spacing w:before="40" w:after="40"/>
              <w:rPr>
                <w:lang w:val="en-US"/>
              </w:rPr>
            </w:pPr>
            <w:r w:rsidRPr="006D27E0">
              <w:rPr>
                <w:color w:val="3C3C3C"/>
                <w:sz w:val="19"/>
                <w:szCs w:val="19"/>
                <w:lang w:val="en-US"/>
              </w:rPr>
              <w:t>Devirtualisation as a weapon of hybrid warfare; systematic deployment of Reverse Ethics through media, education, and institutions as a strategic operation</w:t>
            </w:r>
          </w:p>
        </w:tc>
        <w:tc>
          <w:tcPr>
            <w:tcW w:w="246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4E" w14:textId="77777777" w:rsidR="00804D20" w:rsidRPr="006D27E0" w:rsidRDefault="00B968B3">
            <w:pPr>
              <w:spacing w:before="40" w:after="40"/>
              <w:rPr>
                <w:lang w:val="en-US"/>
              </w:rPr>
            </w:pPr>
            <w:r w:rsidRPr="006D27E0">
              <w:rPr>
                <w:color w:val="3C3C3C"/>
                <w:sz w:val="19"/>
                <w:szCs w:val="19"/>
                <w:lang w:val="en-US"/>
              </w:rPr>
              <w:t>Hybrid warfare doctrine focuses on interstate conflict; Holoviceosis operates within the perpetrating state against its own population</w:t>
            </w:r>
          </w:p>
        </w:tc>
      </w:tr>
    </w:tbl>
    <w:p w14:paraId="0249C850" w14:textId="77777777" w:rsidR="00804D20" w:rsidRPr="006D27E0" w:rsidRDefault="00804D20">
      <w:pPr>
        <w:spacing w:before="200"/>
        <w:rPr>
          <w:lang w:val="en-US"/>
        </w:rPr>
      </w:pPr>
    </w:p>
    <w:p w14:paraId="0249C851" w14:textId="77777777" w:rsidR="00804D20" w:rsidRPr="006D27E0" w:rsidRDefault="00B968B3">
      <w:pPr>
        <w:pStyle w:val="Heading1"/>
        <w:pBdr>
          <w:bottom w:val="single" w:sz="6" w:space="4" w:color="B8972A"/>
        </w:pBdr>
        <w:rPr>
          <w:lang w:val="en-US"/>
        </w:rPr>
      </w:pPr>
      <w:r w:rsidRPr="006D27E0">
        <w:rPr>
          <w:lang w:val="en-US"/>
        </w:rPr>
        <w:t>Part V — Legal Basis for the Criminalisation of Holoviceosis</w:t>
      </w:r>
    </w:p>
    <w:p w14:paraId="0249C852" w14:textId="77777777" w:rsidR="00804D20" w:rsidRPr="006D27E0" w:rsidRDefault="00B968B3">
      <w:pPr>
        <w:pStyle w:val="Heading2"/>
        <w:rPr>
          <w:lang w:val="en-US"/>
        </w:rPr>
      </w:pPr>
      <w:r w:rsidRPr="006D27E0">
        <w:rPr>
          <w:lang w:val="en-US"/>
        </w:rPr>
        <w:t>5.1  The Precedential Chain from Nuremberg to Holoviceosis</w:t>
      </w:r>
    </w:p>
    <w:p w14:paraId="0249C853" w14:textId="77777777" w:rsidR="00804D20" w:rsidRPr="006D27E0" w:rsidRDefault="00B968B3">
      <w:pPr>
        <w:spacing w:before="100" w:after="100"/>
        <w:jc w:val="both"/>
        <w:rPr>
          <w:lang w:val="en-US"/>
        </w:rPr>
      </w:pPr>
      <w:r w:rsidRPr="006D27E0">
        <w:rPr>
          <w:color w:val="3C3C3C"/>
          <w:lang w:val="en-US"/>
        </w:rPr>
        <w:lastRenderedPageBreak/>
        <w:t>The legal path from the death sentences at Nuremberg to the prospective criminalisation of Holoviceosis runs through four analytical steps, each grounded in the comparative analysis of Parts I through IV:</w:t>
      </w:r>
    </w:p>
    <w:p w14:paraId="0249C854" w14:textId="77777777" w:rsidR="00804D20" w:rsidRPr="006D27E0" w:rsidRDefault="00B968B3">
      <w:pPr>
        <w:spacing w:before="240" w:after="80"/>
        <w:rPr>
          <w:lang w:val="en-US"/>
        </w:rPr>
      </w:pPr>
      <w:r w:rsidRPr="006D27E0">
        <w:rPr>
          <w:b/>
          <w:bCs/>
          <w:i/>
          <w:iCs/>
          <w:color w:val="8B1A1A"/>
          <w:sz w:val="24"/>
          <w:szCs w:val="24"/>
          <w:lang w:val="en-US"/>
        </w:rPr>
        <w:t>Step 1: The Nuremberg Principles establish that mass death produced by deliberate state policy is a crime, regardless of mechanism.</w:t>
      </w:r>
    </w:p>
    <w:p w14:paraId="0249C855" w14:textId="77777777" w:rsidR="00804D20" w:rsidRPr="006D27E0" w:rsidRDefault="00B968B3">
      <w:pPr>
        <w:spacing w:before="100" w:after="100"/>
        <w:jc w:val="both"/>
        <w:rPr>
          <w:lang w:val="en-US"/>
        </w:rPr>
      </w:pPr>
      <w:r w:rsidRPr="006D27E0">
        <w:rPr>
          <w:color w:val="3C3C3C"/>
          <w:lang w:val="en-US"/>
        </w:rPr>
        <w:t>The definition of Crimes Against Humanity in Article 6(c) of the London Charter encompasses 'extermination... and other inhumane acts committed against any civilian population.' The Holodomor demonstrates that enforced starvation through food confiscation and border blockade satisfies this definition as fully as gas chambers. The mechanism of mass killing is legally irrelevant. What matters is: (a) a systematic and widespread attack; (b) directed against a civilian population; (c) with knowledge of the atta</w:t>
      </w:r>
      <w:r w:rsidRPr="006D27E0">
        <w:rPr>
          <w:color w:val="3C3C3C"/>
          <w:lang w:val="en-US"/>
        </w:rPr>
        <w:t>ck. This standard, applied consistently from 1945 onward and codified in Article 7 of the Rome Statute of the ICC, provides the first pillar of the legal framework for Holoviceosis.</w:t>
      </w:r>
    </w:p>
    <w:p w14:paraId="0249C856" w14:textId="77777777" w:rsidR="00804D20" w:rsidRPr="006D27E0" w:rsidRDefault="00B968B3">
      <w:pPr>
        <w:spacing w:before="240" w:after="80"/>
        <w:rPr>
          <w:lang w:val="en-US"/>
        </w:rPr>
      </w:pPr>
      <w:r w:rsidRPr="006D27E0">
        <w:rPr>
          <w:b/>
          <w:bCs/>
          <w:i/>
          <w:iCs/>
          <w:color w:val="8B1A1A"/>
          <w:sz w:val="24"/>
          <w:szCs w:val="24"/>
          <w:lang w:val="en-US"/>
        </w:rPr>
        <w:t>Step 2: The Holodomor gap reveals that the Nuremberg model requires supplementation by prospective criminalisation.</w:t>
      </w:r>
    </w:p>
    <w:p w14:paraId="0249C857" w14:textId="77777777" w:rsidR="00804D20" w:rsidRPr="006D27E0" w:rsidRDefault="00B968B3">
      <w:pPr>
        <w:spacing w:before="100" w:after="100"/>
        <w:jc w:val="both"/>
        <w:rPr>
          <w:lang w:val="en-US"/>
        </w:rPr>
      </w:pPr>
      <w:r w:rsidRPr="006D27E0">
        <w:rPr>
          <w:color w:val="3C3C3C"/>
          <w:lang w:val="en-US"/>
        </w:rPr>
        <w:t>The Holodomor's impunity exposes the structural weakness of purely retroactive accountability: where the perpetrating state survives, the model fails. The lesson is that effective accountability for state-organised mass destruction requires prospective criminalisation — the creation of clear legal prohibitions in advance of the commission of the crime, so that perpetrators cannot benefit from the political contingency of their own survival. The failure to criminalise the Holodomor's mechanism in advance was</w:t>
      </w:r>
      <w:r w:rsidRPr="006D27E0">
        <w:rPr>
          <w:color w:val="3C3C3C"/>
          <w:lang w:val="en-US"/>
        </w:rPr>
        <w:t xml:space="preserve"> not merely a historical accident; it was a structural gap in international law that permitted total impunity for one of the 20th century's largest acts of mass murder.</w:t>
      </w:r>
    </w:p>
    <w:p w14:paraId="0249C858" w14:textId="77777777" w:rsidR="00804D20" w:rsidRPr="006D27E0" w:rsidRDefault="00B968B3">
      <w:pPr>
        <w:spacing w:before="240" w:after="80"/>
        <w:rPr>
          <w:lang w:val="en-US"/>
        </w:rPr>
      </w:pPr>
      <w:r w:rsidRPr="006D27E0">
        <w:rPr>
          <w:b/>
          <w:bCs/>
          <w:i/>
          <w:iCs/>
          <w:color w:val="8B1A1A"/>
          <w:sz w:val="24"/>
          <w:szCs w:val="24"/>
          <w:lang w:val="en-US"/>
        </w:rPr>
        <w:t>Step 3: Holoviceosis satisfies the material elements of Crimes Against Humanity if its intentionality and scale claims are substantiated.</w:t>
      </w:r>
    </w:p>
    <w:p w14:paraId="0249C859" w14:textId="77777777" w:rsidR="00804D20" w:rsidRPr="006D27E0" w:rsidRDefault="00B968B3">
      <w:pPr>
        <w:spacing w:before="100" w:after="100"/>
        <w:jc w:val="both"/>
        <w:rPr>
          <w:lang w:val="en-US"/>
        </w:rPr>
      </w:pPr>
      <w:r w:rsidRPr="006D27E0">
        <w:rPr>
          <w:color w:val="3C3C3C"/>
          <w:lang w:val="en-US"/>
        </w:rPr>
        <w:t>The definition of Crimes Against Humanity under Article 7 of the Rome Statute includes 'extermination' (which the statute defines as 'the intentional infliction of conditions of life... calculated to bring about the destruction of part of a population') and 'other inhumane acts of a similar character intentionally causing great suffering, or serious injury to body or to mental or physical health.' The deaths produced by Holoviceosis — highway accidents from infrastructural neglect, preventable hospital deat</w:t>
      </w:r>
      <w:r w:rsidRPr="006D27E0">
        <w:rPr>
          <w:color w:val="3C3C3C"/>
          <w:lang w:val="en-US"/>
        </w:rPr>
        <w:t>hs from systemic underfunding, homicides from state-fostered social decay — fall within the category of 'conditions of life calculated to bring about destruction' if the intentionality claim is established. The philosophical framework of the concept provides the causal and intentional structure required by the legal definition.</w:t>
      </w:r>
    </w:p>
    <w:p w14:paraId="0249C85A" w14:textId="77777777" w:rsidR="00804D20" w:rsidRPr="006D27E0" w:rsidRDefault="00B968B3">
      <w:pPr>
        <w:spacing w:before="240" w:after="80"/>
        <w:rPr>
          <w:lang w:val="en-US"/>
        </w:rPr>
      </w:pPr>
      <w:r w:rsidRPr="006D27E0">
        <w:rPr>
          <w:b/>
          <w:bCs/>
          <w:i/>
          <w:iCs/>
          <w:color w:val="8B1A1A"/>
          <w:sz w:val="24"/>
          <w:szCs w:val="24"/>
          <w:lang w:val="en-US"/>
        </w:rPr>
        <w:t>Step 4: The required element of intent is supplied by the structural characterisation of Holoviceosis.</w:t>
      </w:r>
    </w:p>
    <w:p w14:paraId="0249C85B" w14:textId="77777777" w:rsidR="00804D20" w:rsidRPr="006D27E0" w:rsidRDefault="00B968B3">
      <w:pPr>
        <w:spacing w:before="100" w:after="100"/>
        <w:jc w:val="both"/>
        <w:rPr>
          <w:lang w:val="en-US"/>
        </w:rPr>
      </w:pPr>
      <w:r w:rsidRPr="006D27E0">
        <w:rPr>
          <w:color w:val="3C3C3C"/>
          <w:lang w:val="en-US"/>
        </w:rPr>
        <w:t>The ICC Statute requires that crimes against humanity be committed pursuant to or in furtherance of a State or organisational policy. Holoviceosis's claim of deliberate, planned virtue-to-vice inversion provides precisely this policy element — distinguishing it from mere negligence or unintentional structural harm, which would not satisfy the mens rea requirement of international criminal law. The concept's most legally significant contribution is its insistence on intentionality: Holoviceosis is not the un</w:t>
      </w:r>
      <w:r w:rsidRPr="006D27E0">
        <w:rPr>
          <w:color w:val="3C3C3C"/>
          <w:lang w:val="en-US"/>
        </w:rPr>
        <w:t>intended consequence of bad governance, but the product of a strategic decision to invert moral values in service of the maintenance of power. Establishing this intentionality empirically — through the kind of documentary evidence that proved decisive at Nuremberg and in the Ukrainian investigation of the Holodomor — is the central challenge of any future prosecution.</w:t>
      </w:r>
    </w:p>
    <w:p w14:paraId="0249C85C" w14:textId="77777777" w:rsidR="00804D20" w:rsidRPr="006D27E0" w:rsidRDefault="00B968B3">
      <w:pPr>
        <w:pStyle w:val="Heading2"/>
        <w:rPr>
          <w:lang w:val="en-US"/>
        </w:rPr>
      </w:pPr>
      <w:r w:rsidRPr="006D27E0">
        <w:rPr>
          <w:lang w:val="en-US"/>
        </w:rPr>
        <w:lastRenderedPageBreak/>
        <w:t>5.2  Draft Framework: Elements of the Crime of Holoviceosis</w:t>
      </w:r>
    </w:p>
    <w:p w14:paraId="0249C85D" w14:textId="77777777" w:rsidR="00804D20" w:rsidRPr="006D27E0" w:rsidRDefault="00B968B3">
      <w:pPr>
        <w:spacing w:before="100" w:after="100"/>
        <w:jc w:val="both"/>
        <w:rPr>
          <w:lang w:val="en-US"/>
        </w:rPr>
      </w:pPr>
      <w:r w:rsidRPr="006D27E0">
        <w:rPr>
          <w:color w:val="3C3C3C"/>
          <w:lang w:val="en-US"/>
        </w:rPr>
        <w:t>Drawing on the analytical framework developed in this document, the following sets out the proposed elements of the crime of Holoviceosis for the purposes of prospective legislative criminalisation. The formulation is modelled on the structure of the Rome Statute:</w:t>
      </w:r>
    </w:p>
    <w:p w14:paraId="0249C85E" w14:textId="77777777" w:rsidR="00804D20" w:rsidRPr="006D27E0" w:rsidRDefault="00804D20">
      <w:pPr>
        <w:spacing w:before="120" w:after="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804D20" w14:paraId="0249C861"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85F" w14:textId="77777777" w:rsidR="00804D20" w:rsidRDefault="00B968B3">
            <w:pPr>
              <w:spacing w:before="40" w:after="40"/>
              <w:jc w:val="center"/>
            </w:pPr>
            <w:proofErr w:type="spellStart"/>
            <w:r>
              <w:rPr>
                <w:b/>
                <w:bCs/>
                <w:color w:val="FFFFFF"/>
                <w:sz w:val="20"/>
                <w:szCs w:val="20"/>
              </w:rPr>
              <w:t>Element</w:t>
            </w:r>
            <w:proofErr w:type="spellEnd"/>
          </w:p>
        </w:tc>
        <w:tc>
          <w:tcPr>
            <w:tcW w:w="696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860" w14:textId="77777777" w:rsidR="00804D20" w:rsidRDefault="00B968B3">
            <w:pPr>
              <w:spacing w:before="40" w:after="40"/>
              <w:jc w:val="center"/>
            </w:pPr>
            <w:proofErr w:type="spellStart"/>
            <w:r>
              <w:rPr>
                <w:b/>
                <w:bCs/>
                <w:color w:val="FFFFFF"/>
                <w:sz w:val="20"/>
                <w:szCs w:val="20"/>
              </w:rPr>
              <w:t>Proposed</w:t>
            </w:r>
            <w:proofErr w:type="spellEnd"/>
            <w:r>
              <w:rPr>
                <w:b/>
                <w:bCs/>
                <w:color w:val="FFFFFF"/>
                <w:sz w:val="20"/>
                <w:szCs w:val="20"/>
              </w:rPr>
              <w:t xml:space="preserve"> Definition</w:t>
            </w:r>
          </w:p>
        </w:tc>
      </w:tr>
      <w:tr w:rsidR="00804D20" w:rsidRPr="006D27E0" w14:paraId="0249C86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5E0F0"/>
            <w:tcMar>
              <w:top w:w="100" w:type="dxa"/>
              <w:left w:w="140" w:type="dxa"/>
              <w:bottom w:w="100" w:type="dxa"/>
              <w:right w:w="140" w:type="dxa"/>
            </w:tcMar>
          </w:tcPr>
          <w:p w14:paraId="0249C862" w14:textId="77777777" w:rsidR="00804D20" w:rsidRPr="006D27E0" w:rsidRDefault="00B968B3">
            <w:pPr>
              <w:spacing w:before="40" w:after="40"/>
              <w:rPr>
                <w:lang w:val="en-US"/>
              </w:rPr>
            </w:pPr>
            <w:r w:rsidRPr="006D27E0">
              <w:rPr>
                <w:b/>
                <w:bCs/>
                <w:color w:val="1B2A4A"/>
                <w:sz w:val="20"/>
                <w:szCs w:val="20"/>
                <w:lang w:val="en-US"/>
              </w:rPr>
              <w:t>Actus Reus — The Prohibited Conduct</w:t>
            </w:r>
          </w:p>
        </w:tc>
        <w:tc>
          <w:tcPr>
            <w:tcW w:w="696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863" w14:textId="77777777" w:rsidR="00804D20" w:rsidRPr="006D27E0" w:rsidRDefault="00B968B3">
            <w:pPr>
              <w:spacing w:before="40" w:after="40"/>
              <w:rPr>
                <w:lang w:val="en-US"/>
              </w:rPr>
            </w:pPr>
            <w:r w:rsidRPr="006D27E0">
              <w:rPr>
                <w:color w:val="3C3C3C"/>
                <w:sz w:val="20"/>
                <w:szCs w:val="20"/>
                <w:lang w:val="en-US"/>
              </w:rPr>
              <w:t>The systematic implementation of policies, programmes, or institutional mechanisms constituting Reverse Ethics: the deliberate reclassification of virtues as vices and vices as virtues across media, education, cultural production, legislative, or administrative action, at a scale sufficient to produce population-level effects.</w:t>
            </w:r>
          </w:p>
        </w:tc>
      </w:tr>
      <w:tr w:rsidR="00804D20" w:rsidRPr="006D27E0" w14:paraId="0249C86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EF8"/>
            <w:tcMar>
              <w:top w:w="100" w:type="dxa"/>
              <w:left w:w="140" w:type="dxa"/>
              <w:bottom w:w="100" w:type="dxa"/>
              <w:right w:w="140" w:type="dxa"/>
            </w:tcMar>
          </w:tcPr>
          <w:p w14:paraId="0249C865" w14:textId="77777777" w:rsidR="00804D20" w:rsidRDefault="00B968B3">
            <w:pPr>
              <w:spacing w:before="40" w:after="40"/>
            </w:pPr>
            <w:proofErr w:type="spellStart"/>
            <w:r>
              <w:rPr>
                <w:b/>
                <w:bCs/>
                <w:color w:val="1B2A4A"/>
                <w:sz w:val="20"/>
                <w:szCs w:val="20"/>
              </w:rPr>
              <w:t>Material</w:t>
            </w:r>
            <w:proofErr w:type="spellEnd"/>
            <w:r>
              <w:rPr>
                <w:b/>
                <w:bCs/>
                <w:color w:val="1B2A4A"/>
                <w:sz w:val="20"/>
                <w:szCs w:val="20"/>
              </w:rPr>
              <w:t xml:space="preserve"> </w:t>
            </w:r>
            <w:proofErr w:type="spellStart"/>
            <w:r>
              <w:rPr>
                <w:b/>
                <w:bCs/>
                <w:color w:val="1B2A4A"/>
                <w:sz w:val="20"/>
                <w:szCs w:val="20"/>
              </w:rPr>
              <w:t>Result</w:t>
            </w:r>
            <w:proofErr w:type="spellEnd"/>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66" w14:textId="77777777" w:rsidR="00804D20" w:rsidRPr="006D27E0" w:rsidRDefault="00B968B3">
            <w:pPr>
              <w:spacing w:before="40" w:after="40"/>
              <w:rPr>
                <w:lang w:val="en-US"/>
              </w:rPr>
            </w:pPr>
            <w:r w:rsidRPr="006D27E0">
              <w:rPr>
                <w:color w:val="3C3C3C"/>
                <w:sz w:val="20"/>
                <w:szCs w:val="20"/>
                <w:lang w:val="en-US"/>
              </w:rPr>
              <w:t>Mass preventable death or serious injury to the mental or physical health of the population, distributed across a range of camouflaged social vectors (road accidents, preventable disease, homicide, malnutrition, addiction, institutional neglect) as a consequence of the systematic virtue inversion.</w:t>
            </w:r>
          </w:p>
        </w:tc>
      </w:tr>
      <w:tr w:rsidR="00804D20" w:rsidRPr="006D27E0" w14:paraId="0249C86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5E0F0"/>
            <w:tcMar>
              <w:top w:w="100" w:type="dxa"/>
              <w:left w:w="140" w:type="dxa"/>
              <w:bottom w:w="100" w:type="dxa"/>
              <w:right w:w="140" w:type="dxa"/>
            </w:tcMar>
          </w:tcPr>
          <w:p w14:paraId="0249C868" w14:textId="77777777" w:rsidR="00804D20" w:rsidRDefault="00B968B3">
            <w:pPr>
              <w:spacing w:before="40" w:after="40"/>
            </w:pPr>
            <w:r>
              <w:rPr>
                <w:b/>
                <w:bCs/>
                <w:color w:val="1B2A4A"/>
                <w:sz w:val="20"/>
                <w:szCs w:val="20"/>
              </w:rPr>
              <w:t xml:space="preserve">Mens Rea — </w:t>
            </w:r>
            <w:proofErr w:type="spellStart"/>
            <w:r>
              <w:rPr>
                <w:b/>
                <w:bCs/>
                <w:color w:val="1B2A4A"/>
                <w:sz w:val="20"/>
                <w:szCs w:val="20"/>
              </w:rPr>
              <w:t>Intent</w:t>
            </w:r>
            <w:proofErr w:type="spellEnd"/>
          </w:p>
        </w:tc>
        <w:tc>
          <w:tcPr>
            <w:tcW w:w="696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869" w14:textId="77777777" w:rsidR="00804D20" w:rsidRPr="006D27E0" w:rsidRDefault="00B968B3">
            <w:pPr>
              <w:spacing w:before="40" w:after="40"/>
              <w:rPr>
                <w:lang w:val="en-US"/>
              </w:rPr>
            </w:pPr>
            <w:r w:rsidRPr="006D27E0">
              <w:rPr>
                <w:color w:val="3C3C3C"/>
                <w:sz w:val="20"/>
                <w:szCs w:val="20"/>
                <w:lang w:val="en-US"/>
              </w:rPr>
              <w:t>Knowledge that the policies constitute a systematic attack on the moral and institutional conditions necessary for the protection of human life and freedom; and intent that the resulting harm serve to maintain or consolidate the power of the perpetrating group or institution. (Intent may be established by direct evidence of policy design, or inferred from the systematic and sustained character of the conduct and the foreseeability of the outcome.)</w:t>
            </w:r>
          </w:p>
        </w:tc>
      </w:tr>
      <w:tr w:rsidR="00804D20" w:rsidRPr="006D27E0" w14:paraId="0249C86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EF8"/>
            <w:tcMar>
              <w:top w:w="100" w:type="dxa"/>
              <w:left w:w="140" w:type="dxa"/>
              <w:bottom w:w="100" w:type="dxa"/>
              <w:right w:w="140" w:type="dxa"/>
            </w:tcMar>
          </w:tcPr>
          <w:p w14:paraId="0249C86B" w14:textId="77777777" w:rsidR="00804D20" w:rsidRDefault="00B968B3">
            <w:pPr>
              <w:spacing w:before="40" w:after="40"/>
            </w:pPr>
            <w:r>
              <w:rPr>
                <w:b/>
                <w:bCs/>
                <w:color w:val="1B2A4A"/>
                <w:sz w:val="20"/>
                <w:szCs w:val="20"/>
              </w:rPr>
              <w:t xml:space="preserve">Policy </w:t>
            </w:r>
            <w:proofErr w:type="spellStart"/>
            <w:r>
              <w:rPr>
                <w:b/>
                <w:bCs/>
                <w:color w:val="1B2A4A"/>
                <w:sz w:val="20"/>
                <w:szCs w:val="20"/>
              </w:rPr>
              <w:t>Element</w:t>
            </w:r>
            <w:proofErr w:type="spellEnd"/>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6C" w14:textId="77777777" w:rsidR="00804D20" w:rsidRPr="006D27E0" w:rsidRDefault="00B968B3">
            <w:pPr>
              <w:spacing w:before="40" w:after="40"/>
              <w:rPr>
                <w:lang w:val="en-US"/>
              </w:rPr>
            </w:pPr>
            <w:r w:rsidRPr="006D27E0">
              <w:rPr>
                <w:color w:val="3C3C3C"/>
                <w:sz w:val="20"/>
                <w:szCs w:val="20"/>
                <w:lang w:val="en-US"/>
              </w:rPr>
              <w:t>The conduct must be committed pursuant to or in furtherance of the explicit or implicit policy of a State, government, or organisation with the capacity to implement such policies at the relevant scale.</w:t>
            </w:r>
          </w:p>
        </w:tc>
      </w:tr>
      <w:tr w:rsidR="00804D20" w:rsidRPr="006D27E0" w14:paraId="0249C87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5E0F0"/>
            <w:tcMar>
              <w:top w:w="100" w:type="dxa"/>
              <w:left w:w="140" w:type="dxa"/>
              <w:bottom w:w="100" w:type="dxa"/>
              <w:right w:w="140" w:type="dxa"/>
            </w:tcMar>
          </w:tcPr>
          <w:p w14:paraId="0249C86E" w14:textId="77777777" w:rsidR="00804D20" w:rsidRDefault="00B968B3">
            <w:pPr>
              <w:spacing w:before="40" w:after="40"/>
            </w:pPr>
            <w:r>
              <w:rPr>
                <w:b/>
                <w:bCs/>
                <w:color w:val="1B2A4A"/>
                <w:sz w:val="20"/>
                <w:szCs w:val="20"/>
              </w:rPr>
              <w:t xml:space="preserve">Scale </w:t>
            </w:r>
            <w:proofErr w:type="spellStart"/>
            <w:r>
              <w:rPr>
                <w:b/>
                <w:bCs/>
                <w:color w:val="1B2A4A"/>
                <w:sz w:val="20"/>
                <w:szCs w:val="20"/>
              </w:rPr>
              <w:t>Requirement</w:t>
            </w:r>
            <w:proofErr w:type="spellEnd"/>
          </w:p>
        </w:tc>
        <w:tc>
          <w:tcPr>
            <w:tcW w:w="696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86F" w14:textId="77777777" w:rsidR="00804D20" w:rsidRPr="006D27E0" w:rsidRDefault="00B968B3">
            <w:pPr>
              <w:spacing w:before="40" w:after="40"/>
              <w:rPr>
                <w:lang w:val="en-US"/>
              </w:rPr>
            </w:pPr>
            <w:r w:rsidRPr="006D27E0">
              <w:rPr>
                <w:color w:val="3C3C3C"/>
                <w:sz w:val="20"/>
                <w:szCs w:val="20"/>
                <w:lang w:val="en-US"/>
              </w:rPr>
              <w:t>The conduct must be widespread or systematic — directed against multiple sectors of the civilian population simultaneously, or sustained over a period sufficient to produce measurable population-level mortality or morbidity attributable to the virtue inversion.</w:t>
            </w:r>
          </w:p>
        </w:tc>
      </w:tr>
      <w:tr w:rsidR="00804D20" w:rsidRPr="006D27E0" w14:paraId="0249C87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EF8"/>
            <w:tcMar>
              <w:top w:w="100" w:type="dxa"/>
              <w:left w:w="140" w:type="dxa"/>
              <w:bottom w:w="100" w:type="dxa"/>
              <w:right w:w="140" w:type="dxa"/>
            </w:tcMar>
          </w:tcPr>
          <w:p w14:paraId="0249C871" w14:textId="77777777" w:rsidR="00804D20" w:rsidRDefault="00B968B3">
            <w:pPr>
              <w:spacing w:before="40" w:after="40"/>
            </w:pPr>
            <w:proofErr w:type="spellStart"/>
            <w:r>
              <w:rPr>
                <w:b/>
                <w:bCs/>
                <w:color w:val="1B2A4A"/>
                <w:sz w:val="20"/>
                <w:szCs w:val="20"/>
              </w:rPr>
              <w:t>Individual</w:t>
            </w:r>
            <w:proofErr w:type="spellEnd"/>
            <w:r>
              <w:rPr>
                <w:b/>
                <w:bCs/>
                <w:color w:val="1B2A4A"/>
                <w:sz w:val="20"/>
                <w:szCs w:val="20"/>
              </w:rPr>
              <w:t xml:space="preserve"> </w:t>
            </w:r>
            <w:proofErr w:type="spellStart"/>
            <w:r>
              <w:rPr>
                <w:b/>
                <w:bCs/>
                <w:color w:val="1B2A4A"/>
                <w:sz w:val="20"/>
                <w:szCs w:val="20"/>
              </w:rPr>
              <w:t>Criminal</w:t>
            </w:r>
            <w:proofErr w:type="spellEnd"/>
            <w:r>
              <w:rPr>
                <w:b/>
                <w:bCs/>
                <w:color w:val="1B2A4A"/>
                <w:sz w:val="20"/>
                <w:szCs w:val="20"/>
              </w:rPr>
              <w:t xml:space="preserve"> </w:t>
            </w:r>
            <w:proofErr w:type="spellStart"/>
            <w:r>
              <w:rPr>
                <w:b/>
                <w:bCs/>
                <w:color w:val="1B2A4A"/>
                <w:sz w:val="20"/>
                <w:szCs w:val="20"/>
              </w:rPr>
              <w:t>Responsibility</w:t>
            </w:r>
            <w:proofErr w:type="spellEnd"/>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72" w14:textId="77777777" w:rsidR="00804D20" w:rsidRPr="006D27E0" w:rsidRDefault="00B968B3">
            <w:pPr>
              <w:spacing w:before="40" w:after="40"/>
              <w:rPr>
                <w:lang w:val="en-US"/>
              </w:rPr>
            </w:pPr>
            <w:r w:rsidRPr="006D27E0">
              <w:rPr>
                <w:color w:val="3C3C3C"/>
                <w:sz w:val="20"/>
                <w:szCs w:val="20"/>
                <w:lang w:val="en-US"/>
              </w:rPr>
              <w:t>Liability attaches to: (a) those who design and order the implementation of the policies; (b) those who execute the policies with knowledge of their criminal character; (c) those who, in positions of authority, fail to prevent or halt the implementation of such policies when legally empowered and obligated to do so.</w:t>
            </w:r>
          </w:p>
        </w:tc>
      </w:tr>
      <w:tr w:rsidR="00804D20" w:rsidRPr="006D27E0" w14:paraId="0249C87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5E0F0"/>
            <w:tcMar>
              <w:top w:w="100" w:type="dxa"/>
              <w:left w:w="140" w:type="dxa"/>
              <w:bottom w:w="100" w:type="dxa"/>
              <w:right w:w="140" w:type="dxa"/>
            </w:tcMar>
          </w:tcPr>
          <w:p w14:paraId="0249C874" w14:textId="77777777" w:rsidR="00804D20" w:rsidRDefault="00B968B3">
            <w:pPr>
              <w:spacing w:before="40" w:after="40"/>
            </w:pPr>
            <w:proofErr w:type="spellStart"/>
            <w:r>
              <w:rPr>
                <w:b/>
                <w:bCs/>
                <w:color w:val="1B2A4A"/>
                <w:sz w:val="20"/>
                <w:szCs w:val="20"/>
              </w:rPr>
              <w:t>Defence</w:t>
            </w:r>
            <w:proofErr w:type="spellEnd"/>
            <w:r>
              <w:rPr>
                <w:b/>
                <w:bCs/>
                <w:color w:val="1B2A4A"/>
                <w:sz w:val="20"/>
                <w:szCs w:val="20"/>
              </w:rPr>
              <w:t xml:space="preserve"> of Superior Orders</w:t>
            </w:r>
          </w:p>
        </w:tc>
        <w:tc>
          <w:tcPr>
            <w:tcW w:w="6960" w:type="dxa"/>
            <w:tcBorders>
              <w:top w:val="single" w:sz="1" w:space="0" w:color="CCCCCC"/>
              <w:left w:val="single" w:sz="1" w:space="0" w:color="CCCCCC"/>
              <w:bottom w:val="single" w:sz="1" w:space="0" w:color="CCCCCC"/>
              <w:right w:val="single" w:sz="1" w:space="0" w:color="CCCCCC"/>
            </w:tcBorders>
            <w:shd w:val="clear" w:color="auto" w:fill="EEF1F7"/>
            <w:tcMar>
              <w:top w:w="100" w:type="dxa"/>
              <w:left w:w="140" w:type="dxa"/>
              <w:bottom w:w="100" w:type="dxa"/>
              <w:right w:w="140" w:type="dxa"/>
            </w:tcMar>
          </w:tcPr>
          <w:p w14:paraId="0249C875" w14:textId="77777777" w:rsidR="00804D20" w:rsidRPr="006D27E0" w:rsidRDefault="00B968B3">
            <w:pPr>
              <w:spacing w:before="40" w:after="40"/>
              <w:rPr>
                <w:lang w:val="en-US"/>
              </w:rPr>
            </w:pPr>
            <w:r w:rsidRPr="006D27E0">
              <w:rPr>
                <w:color w:val="3C3C3C"/>
                <w:sz w:val="20"/>
                <w:szCs w:val="20"/>
                <w:lang w:val="en-US"/>
              </w:rPr>
              <w:t>Not a complete defence; may be considered in mitigation of penalty, consistent with Nuremberg Principle IV and Article 33 of the Rome Statute.</w:t>
            </w:r>
          </w:p>
        </w:tc>
      </w:tr>
      <w:tr w:rsidR="00804D20" w:rsidRPr="006D27E0" w14:paraId="0249C87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EF8"/>
            <w:tcMar>
              <w:top w:w="100" w:type="dxa"/>
              <w:left w:w="140" w:type="dxa"/>
              <w:bottom w:w="100" w:type="dxa"/>
              <w:right w:w="140" w:type="dxa"/>
            </w:tcMar>
          </w:tcPr>
          <w:p w14:paraId="0249C877" w14:textId="77777777" w:rsidR="00804D20" w:rsidRDefault="00B968B3">
            <w:pPr>
              <w:spacing w:before="40" w:after="40"/>
            </w:pPr>
            <w:r>
              <w:rPr>
                <w:b/>
                <w:bCs/>
                <w:color w:val="1B2A4A"/>
                <w:sz w:val="20"/>
                <w:szCs w:val="20"/>
              </w:rPr>
              <w:t>Penalty</w:t>
            </w:r>
          </w:p>
        </w:tc>
        <w:tc>
          <w:tcPr>
            <w:tcW w:w="696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40" w:type="dxa"/>
              <w:bottom w:w="100" w:type="dxa"/>
              <w:right w:w="140" w:type="dxa"/>
            </w:tcMar>
          </w:tcPr>
          <w:p w14:paraId="0249C878" w14:textId="77777777" w:rsidR="00804D20" w:rsidRPr="006D27E0" w:rsidRDefault="00B968B3">
            <w:pPr>
              <w:spacing w:before="40" w:after="40"/>
              <w:rPr>
                <w:lang w:val="en-US"/>
              </w:rPr>
            </w:pPr>
            <w:r w:rsidRPr="006D27E0">
              <w:rPr>
                <w:color w:val="3C3C3C"/>
                <w:sz w:val="20"/>
                <w:szCs w:val="20"/>
                <w:lang w:val="en-US"/>
              </w:rPr>
              <w:t>Given the scale of harm and the degree of deliberate intent required, the crime of Holoviceosis as defined should carry penalties commensurate with those applicable to crimes against humanity under domestic and international law, ranging from significant imprisonment to, in cases of maximum aggravation (heads of state, principal architects, demonstrable mass mortality), the maximum penalties provided by the applicable legal system.</w:t>
            </w:r>
          </w:p>
        </w:tc>
      </w:tr>
    </w:tbl>
    <w:p w14:paraId="0249C87A" w14:textId="77777777" w:rsidR="00804D20" w:rsidRPr="006D27E0" w:rsidRDefault="00804D20">
      <w:pPr>
        <w:spacing w:before="200"/>
        <w:rPr>
          <w:lang w:val="en-US"/>
        </w:rPr>
      </w:pPr>
    </w:p>
    <w:p w14:paraId="0249C87B" w14:textId="77777777" w:rsidR="00804D20" w:rsidRPr="006D27E0" w:rsidRDefault="00B968B3">
      <w:pPr>
        <w:pStyle w:val="Heading2"/>
        <w:rPr>
          <w:lang w:val="en-US"/>
        </w:rPr>
      </w:pPr>
      <w:r w:rsidRPr="006D27E0">
        <w:rPr>
          <w:lang w:val="en-US"/>
        </w:rPr>
        <w:t>5.3  The Principal Challenges to Criminalisation</w:t>
      </w:r>
    </w:p>
    <w:p w14:paraId="0249C87C" w14:textId="77777777" w:rsidR="00804D20" w:rsidRPr="006D27E0" w:rsidRDefault="00B968B3">
      <w:pPr>
        <w:spacing w:before="100" w:after="100"/>
        <w:jc w:val="both"/>
        <w:rPr>
          <w:lang w:val="en-US"/>
        </w:rPr>
      </w:pPr>
      <w:r w:rsidRPr="006D27E0">
        <w:rPr>
          <w:color w:val="3C3C3C"/>
          <w:lang w:val="en-US"/>
        </w:rPr>
        <w:t>Three challenges must be addressed in any legislative or treaty-based effort to criminalise Holoviceosis:</w:t>
      </w:r>
    </w:p>
    <w:p w14:paraId="0249C87D" w14:textId="77777777" w:rsidR="00804D20" w:rsidRPr="006D27E0" w:rsidRDefault="00B968B3">
      <w:pPr>
        <w:spacing w:before="240" w:after="80"/>
        <w:rPr>
          <w:lang w:val="en-US"/>
        </w:rPr>
      </w:pPr>
      <w:r w:rsidRPr="006D27E0">
        <w:rPr>
          <w:b/>
          <w:bCs/>
          <w:i/>
          <w:iCs/>
          <w:color w:val="8B1A1A"/>
          <w:sz w:val="24"/>
          <w:szCs w:val="24"/>
          <w:lang w:val="en-US"/>
        </w:rPr>
        <w:t>Challenge 1 — The Intentionality Standard</w:t>
      </w:r>
    </w:p>
    <w:p w14:paraId="0249C87E" w14:textId="77777777" w:rsidR="00804D20" w:rsidRPr="006D27E0" w:rsidRDefault="00B968B3">
      <w:pPr>
        <w:spacing w:before="100" w:after="100"/>
        <w:jc w:val="both"/>
        <w:rPr>
          <w:lang w:val="en-US"/>
        </w:rPr>
      </w:pPr>
      <w:r w:rsidRPr="006D27E0">
        <w:rPr>
          <w:color w:val="3C3C3C"/>
          <w:lang w:val="en-US"/>
        </w:rPr>
        <w:t>International criminal law requires proof of specific intent. The most contested element of Holoviceosis is whether the virtue-to-vice inversion is consciously planned (strong intentionalism) or emerges as an emergent property of institutional logic (structural intentionalism). The legal framework accommodates both: under Article 30 of the Rome Statute, a person has intent where they mean to engage in the conduct and mean to cause the consequence — or are aware that it will occur in the ordinary course of e</w:t>
      </w:r>
      <w:r w:rsidRPr="006D27E0">
        <w:rPr>
          <w:color w:val="3C3C3C"/>
          <w:lang w:val="en-US"/>
        </w:rPr>
        <w:t>vents. A sustained, systematic programme of Reverse Ethics, maintained over years by agents who are or should be aware of its demographic consequences, satisfies this awareness standard without requiring proof of an explicit extermination directive.</w:t>
      </w:r>
    </w:p>
    <w:p w14:paraId="0249C87F" w14:textId="77777777" w:rsidR="00804D20" w:rsidRPr="006D27E0" w:rsidRDefault="00B968B3">
      <w:pPr>
        <w:spacing w:before="240" w:after="80"/>
        <w:rPr>
          <w:lang w:val="en-US"/>
        </w:rPr>
      </w:pPr>
      <w:r w:rsidRPr="006D27E0">
        <w:rPr>
          <w:b/>
          <w:bCs/>
          <w:i/>
          <w:iCs/>
          <w:color w:val="8B1A1A"/>
          <w:sz w:val="24"/>
          <w:szCs w:val="24"/>
          <w:lang w:val="en-US"/>
        </w:rPr>
        <w:t>Challenge 2 — Causal Attribution and Evidentiary Standards</w:t>
      </w:r>
    </w:p>
    <w:p w14:paraId="0249C880" w14:textId="77777777" w:rsidR="00804D20" w:rsidRPr="006D27E0" w:rsidRDefault="00B968B3">
      <w:pPr>
        <w:spacing w:before="100" w:after="100"/>
        <w:jc w:val="both"/>
        <w:rPr>
          <w:lang w:val="en-US"/>
        </w:rPr>
      </w:pPr>
      <w:r w:rsidRPr="006D27E0">
        <w:rPr>
          <w:color w:val="3C3C3C"/>
          <w:lang w:val="en-US"/>
        </w:rPr>
        <w:t>Proving that specific preventable deaths were caused by a policy of virtue inversion — rather than by poverty, individual negligence, or random social forces — requires epidemiological and institutional evidence of the kind deployed in the Ukrainian investigation of the Holodomor (3,456 documents) and in the prosecutorial analysis at Nuremberg (the Wannsee protocol, the Einsatzgruppen reports, the T4 programme documentation). The development of a 'Virtue Inversion Index' — a measurable instrument mapping th</w:t>
      </w:r>
      <w:r w:rsidRPr="006D27E0">
        <w:rPr>
          <w:color w:val="3C3C3C"/>
          <w:lang w:val="en-US"/>
        </w:rPr>
        <w:t>e systematic displacement of virtues by vices across social institutions — constitutes the central empirical research agenda for establishing this causal chain.</w:t>
      </w:r>
    </w:p>
    <w:p w14:paraId="0249C881" w14:textId="77777777" w:rsidR="00804D20" w:rsidRPr="006D27E0" w:rsidRDefault="00B968B3">
      <w:pPr>
        <w:spacing w:before="240" w:after="80"/>
        <w:rPr>
          <w:lang w:val="en-US"/>
        </w:rPr>
      </w:pPr>
      <w:r w:rsidRPr="006D27E0">
        <w:rPr>
          <w:b/>
          <w:bCs/>
          <w:i/>
          <w:iCs/>
          <w:color w:val="8B1A1A"/>
          <w:sz w:val="24"/>
          <w:szCs w:val="24"/>
          <w:lang w:val="en-US"/>
        </w:rPr>
        <w:t>Challenge 3 — The Nullum Crimen Principle</w:t>
      </w:r>
    </w:p>
    <w:p w14:paraId="0249C882" w14:textId="77777777" w:rsidR="00804D20" w:rsidRPr="006D27E0" w:rsidRDefault="00B968B3">
      <w:pPr>
        <w:spacing w:before="100" w:after="100"/>
        <w:jc w:val="both"/>
        <w:rPr>
          <w:lang w:val="en-US"/>
        </w:rPr>
      </w:pPr>
      <w:r w:rsidRPr="006D27E0">
        <w:rPr>
          <w:color w:val="3C3C3C"/>
          <w:lang w:val="en-US"/>
        </w:rPr>
        <w:t>The objection that Holoviceosis constitutes a retroactive crime — the same objection raised at Nuremberg regarding Crimes Against Peace — is addressed by the prospective character of the proposed criminalisation. The purpose of this framework is not to prosecute past conduct post hoc, but to create a clear prospective legal prohibition so that future perpetrators cannot benefit from the impunity that has historically attended diffuse, structurally-mediated mass death. This is precisely the lesson the Holodo</w:t>
      </w:r>
      <w:r w:rsidRPr="006D27E0">
        <w:rPr>
          <w:color w:val="3C3C3C"/>
          <w:lang w:val="en-US"/>
        </w:rPr>
        <w:t>mor teaches: the absence of prospective criminalisation was the condition of possibility for 77 years of complete impunity.</w:t>
      </w:r>
    </w:p>
    <w:p w14:paraId="0249C883" w14:textId="77777777" w:rsidR="00804D20" w:rsidRPr="006D27E0" w:rsidRDefault="00B968B3">
      <w:pPr>
        <w:pStyle w:val="Heading1"/>
        <w:pBdr>
          <w:bottom w:val="single" w:sz="6" w:space="4" w:color="B8972A"/>
        </w:pBdr>
        <w:rPr>
          <w:lang w:val="en-US"/>
        </w:rPr>
      </w:pPr>
      <w:r w:rsidRPr="006D27E0">
        <w:rPr>
          <w:lang w:val="en-US"/>
        </w:rPr>
        <w:t>Part VI — Comparative Summary and Conclusions</w:t>
      </w:r>
    </w:p>
    <w:p w14:paraId="0249C884" w14:textId="77777777" w:rsidR="00804D20" w:rsidRPr="006D27E0" w:rsidRDefault="00B968B3">
      <w:pPr>
        <w:pStyle w:val="Heading2"/>
        <w:rPr>
          <w:lang w:val="en-US"/>
        </w:rPr>
      </w:pPr>
      <w:r w:rsidRPr="006D27E0">
        <w:rPr>
          <w:lang w:val="en-US"/>
        </w:rPr>
        <w:t>6.1  The Three Crimes: A Unified Analytical Framework</w:t>
      </w:r>
    </w:p>
    <w:p w14:paraId="0249C885" w14:textId="77777777" w:rsidR="00804D20" w:rsidRPr="006D27E0" w:rsidRDefault="00B968B3">
      <w:pPr>
        <w:spacing w:before="100" w:after="100"/>
        <w:jc w:val="both"/>
        <w:rPr>
          <w:lang w:val="en-US"/>
        </w:rPr>
      </w:pPr>
      <w:r w:rsidRPr="006D27E0">
        <w:rPr>
          <w:color w:val="3C3C3C"/>
          <w:lang w:val="en-US"/>
        </w:rPr>
        <w:t>The Holocaust, the Holodomor, and Holoviceosis constitute three points on a single analytical continuum defined by two axes: visibility of the killing mechanism, and institutional accountability actually delivered.</w:t>
      </w:r>
    </w:p>
    <w:p w14:paraId="0249C886" w14:textId="77777777" w:rsidR="00804D20" w:rsidRPr="006D27E0" w:rsidRDefault="00804D20">
      <w:pPr>
        <w:spacing w:before="120" w:after="12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320"/>
        <w:gridCol w:w="2320"/>
        <w:gridCol w:w="2320"/>
      </w:tblGrid>
      <w:tr w:rsidR="00804D20" w14:paraId="0249C88B"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887" w14:textId="77777777" w:rsidR="00804D20" w:rsidRDefault="00B968B3">
            <w:pPr>
              <w:spacing w:before="40" w:after="40"/>
              <w:jc w:val="center"/>
            </w:pPr>
            <w:r>
              <w:rPr>
                <w:b/>
                <w:bCs/>
                <w:color w:val="FFFFFF"/>
                <w:sz w:val="20"/>
                <w:szCs w:val="20"/>
              </w:rPr>
              <w:lastRenderedPageBreak/>
              <w:t>Axis</w:t>
            </w:r>
          </w:p>
        </w:tc>
        <w:tc>
          <w:tcPr>
            <w:tcW w:w="232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888" w14:textId="77777777" w:rsidR="00804D20" w:rsidRDefault="00B968B3">
            <w:pPr>
              <w:spacing w:before="40" w:after="40"/>
              <w:jc w:val="center"/>
            </w:pPr>
            <w:proofErr w:type="spellStart"/>
            <w:r>
              <w:rPr>
                <w:b/>
                <w:bCs/>
                <w:color w:val="FFFFFF"/>
                <w:sz w:val="20"/>
                <w:szCs w:val="20"/>
              </w:rPr>
              <w:t>Holocaust</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889" w14:textId="77777777" w:rsidR="00804D20" w:rsidRDefault="00B968B3">
            <w:pPr>
              <w:spacing w:before="40" w:after="40"/>
              <w:jc w:val="center"/>
            </w:pPr>
            <w:proofErr w:type="spellStart"/>
            <w:r>
              <w:rPr>
                <w:b/>
                <w:bCs/>
                <w:color w:val="FFFFFF"/>
                <w:sz w:val="20"/>
                <w:szCs w:val="20"/>
              </w:rPr>
              <w:t>Holodomor</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1B2A4A"/>
            <w:tcMar>
              <w:top w:w="100" w:type="dxa"/>
              <w:left w:w="140" w:type="dxa"/>
              <w:bottom w:w="100" w:type="dxa"/>
              <w:right w:w="140" w:type="dxa"/>
            </w:tcMar>
            <w:vAlign w:val="center"/>
          </w:tcPr>
          <w:p w14:paraId="0249C88A" w14:textId="77777777" w:rsidR="00804D20" w:rsidRDefault="00B968B3">
            <w:pPr>
              <w:spacing w:before="40" w:after="40"/>
              <w:jc w:val="center"/>
            </w:pPr>
            <w:proofErr w:type="spellStart"/>
            <w:r>
              <w:rPr>
                <w:b/>
                <w:bCs/>
                <w:color w:val="FFFFFF"/>
                <w:sz w:val="20"/>
                <w:szCs w:val="20"/>
              </w:rPr>
              <w:t>Holoviceosis</w:t>
            </w:r>
            <w:proofErr w:type="spellEnd"/>
          </w:p>
        </w:tc>
      </w:tr>
      <w:tr w:rsidR="00804D20" w14:paraId="0249C89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5E0F0"/>
            <w:tcMar>
              <w:top w:w="80" w:type="dxa"/>
              <w:left w:w="120" w:type="dxa"/>
              <w:bottom w:w="80" w:type="dxa"/>
              <w:right w:w="120" w:type="dxa"/>
            </w:tcMar>
          </w:tcPr>
          <w:p w14:paraId="0249C88C" w14:textId="77777777" w:rsidR="00804D20" w:rsidRDefault="00B968B3">
            <w:pPr>
              <w:spacing w:before="40" w:after="40"/>
            </w:pPr>
            <w:r>
              <w:rPr>
                <w:b/>
                <w:bCs/>
                <w:color w:val="1B2A4A"/>
                <w:sz w:val="19"/>
                <w:szCs w:val="19"/>
              </w:rPr>
              <w:t xml:space="preserve">Killing </w:t>
            </w:r>
            <w:proofErr w:type="spellStart"/>
            <w:r>
              <w:rPr>
                <w:b/>
                <w:bCs/>
                <w:color w:val="1B2A4A"/>
                <w:sz w:val="19"/>
                <w:szCs w:val="19"/>
              </w:rPr>
              <w:t>mechanism</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8D" w14:textId="77777777" w:rsidR="00804D20" w:rsidRDefault="00B968B3">
            <w:pPr>
              <w:spacing w:before="40" w:after="40"/>
            </w:pPr>
            <w:r>
              <w:rPr>
                <w:color w:val="3C3C3C"/>
                <w:sz w:val="19"/>
                <w:szCs w:val="19"/>
              </w:rPr>
              <w:t xml:space="preserve">Direct / </w:t>
            </w:r>
            <w:proofErr w:type="spellStart"/>
            <w:r>
              <w:rPr>
                <w:color w:val="3C3C3C"/>
                <w:sz w:val="19"/>
                <w:szCs w:val="19"/>
              </w:rPr>
              <w:t>concentrated</w:t>
            </w:r>
            <w:proofErr w:type="spellEnd"/>
            <w:r>
              <w:rPr>
                <w:color w:val="3C3C3C"/>
                <w:sz w:val="19"/>
                <w:szCs w:val="19"/>
              </w:rPr>
              <w:t xml:space="preserve"> / </w:t>
            </w:r>
            <w:proofErr w:type="spellStart"/>
            <w:r>
              <w:rPr>
                <w:color w:val="3C3C3C"/>
                <w:sz w:val="19"/>
                <w:szCs w:val="19"/>
              </w:rPr>
              <w:t>visible</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8E" w14:textId="77777777" w:rsidR="00804D20" w:rsidRDefault="00B968B3">
            <w:pPr>
              <w:spacing w:before="40" w:after="40"/>
            </w:pPr>
            <w:proofErr w:type="spellStart"/>
            <w:r>
              <w:rPr>
                <w:color w:val="3C3C3C"/>
                <w:sz w:val="19"/>
                <w:szCs w:val="19"/>
              </w:rPr>
              <w:t>Structural</w:t>
            </w:r>
            <w:proofErr w:type="spellEnd"/>
            <w:r>
              <w:rPr>
                <w:color w:val="3C3C3C"/>
                <w:sz w:val="19"/>
                <w:szCs w:val="19"/>
              </w:rPr>
              <w:t xml:space="preserve"> / </w:t>
            </w:r>
            <w:proofErr w:type="spellStart"/>
            <w:r>
              <w:rPr>
                <w:color w:val="3C3C3C"/>
                <w:sz w:val="19"/>
                <w:szCs w:val="19"/>
              </w:rPr>
              <w:t>concentrated</w:t>
            </w:r>
            <w:proofErr w:type="spellEnd"/>
            <w:r>
              <w:rPr>
                <w:color w:val="3C3C3C"/>
                <w:sz w:val="19"/>
                <w:szCs w:val="19"/>
              </w:rPr>
              <w:t xml:space="preserve"> / </w:t>
            </w:r>
            <w:proofErr w:type="spellStart"/>
            <w:r>
              <w:rPr>
                <w:color w:val="3C3C3C"/>
                <w:sz w:val="19"/>
                <w:szCs w:val="19"/>
              </w:rPr>
              <w:t>partially</w:t>
            </w:r>
            <w:proofErr w:type="spellEnd"/>
            <w:r>
              <w:rPr>
                <w:color w:val="3C3C3C"/>
                <w:sz w:val="19"/>
                <w:szCs w:val="19"/>
              </w:rPr>
              <w:t xml:space="preserve"> </w:t>
            </w:r>
            <w:proofErr w:type="spellStart"/>
            <w:r>
              <w:rPr>
                <w:color w:val="3C3C3C"/>
                <w:sz w:val="19"/>
                <w:szCs w:val="19"/>
              </w:rPr>
              <w:t>visible</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8F" w14:textId="77777777" w:rsidR="00804D20" w:rsidRDefault="00B968B3">
            <w:pPr>
              <w:spacing w:before="40" w:after="40"/>
            </w:pPr>
            <w:proofErr w:type="spellStart"/>
            <w:r>
              <w:rPr>
                <w:color w:val="3C3C3C"/>
                <w:sz w:val="19"/>
                <w:szCs w:val="19"/>
              </w:rPr>
              <w:t>Structural</w:t>
            </w:r>
            <w:proofErr w:type="spellEnd"/>
            <w:r>
              <w:rPr>
                <w:color w:val="3C3C3C"/>
                <w:sz w:val="19"/>
                <w:szCs w:val="19"/>
              </w:rPr>
              <w:t xml:space="preserve"> / diffuse / </w:t>
            </w:r>
            <w:proofErr w:type="spellStart"/>
            <w:r>
              <w:rPr>
                <w:color w:val="3C3C3C"/>
                <w:sz w:val="19"/>
                <w:szCs w:val="19"/>
              </w:rPr>
              <w:t>invisible</w:t>
            </w:r>
            <w:proofErr w:type="spellEnd"/>
          </w:p>
        </w:tc>
      </w:tr>
      <w:tr w:rsidR="00804D20" w14:paraId="0249C89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EF8"/>
            <w:tcMar>
              <w:top w:w="80" w:type="dxa"/>
              <w:left w:w="120" w:type="dxa"/>
              <w:bottom w:w="80" w:type="dxa"/>
              <w:right w:w="120" w:type="dxa"/>
            </w:tcMar>
          </w:tcPr>
          <w:p w14:paraId="0249C891" w14:textId="77777777" w:rsidR="00804D20" w:rsidRDefault="00B968B3">
            <w:pPr>
              <w:spacing w:before="40" w:after="40"/>
            </w:pPr>
            <w:r>
              <w:rPr>
                <w:b/>
                <w:bCs/>
                <w:color w:val="1B2A4A"/>
                <w:sz w:val="19"/>
                <w:szCs w:val="19"/>
              </w:rPr>
              <w:t xml:space="preserve">State </w:t>
            </w:r>
            <w:proofErr w:type="spellStart"/>
            <w:r>
              <w:rPr>
                <w:b/>
                <w:bCs/>
                <w:color w:val="1B2A4A"/>
                <w:sz w:val="19"/>
                <w:szCs w:val="19"/>
              </w:rPr>
              <w:t>role</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92" w14:textId="77777777" w:rsidR="00804D20" w:rsidRDefault="00B968B3">
            <w:pPr>
              <w:spacing w:before="40" w:after="40"/>
            </w:pPr>
            <w:proofErr w:type="spellStart"/>
            <w:r>
              <w:rPr>
                <w:color w:val="3C3C3C"/>
                <w:sz w:val="19"/>
                <w:szCs w:val="19"/>
              </w:rPr>
              <w:t>Perpetrating</w:t>
            </w:r>
            <w:proofErr w:type="spellEnd"/>
            <w:r>
              <w:rPr>
                <w:color w:val="3C3C3C"/>
                <w:sz w:val="19"/>
                <w:szCs w:val="19"/>
              </w:rPr>
              <w:t xml:space="preserve"> state </w:t>
            </w:r>
            <w:proofErr w:type="spellStart"/>
            <w:r>
              <w:rPr>
                <w:color w:val="3C3C3C"/>
                <w:sz w:val="19"/>
                <w:szCs w:val="19"/>
              </w:rPr>
              <w:t>defeated</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93" w14:textId="77777777" w:rsidR="00804D20" w:rsidRDefault="00B968B3">
            <w:pPr>
              <w:spacing w:before="40" w:after="40"/>
            </w:pPr>
            <w:proofErr w:type="spellStart"/>
            <w:r>
              <w:rPr>
                <w:color w:val="3C3C3C"/>
                <w:sz w:val="19"/>
                <w:szCs w:val="19"/>
              </w:rPr>
              <w:t>Perpetrating</w:t>
            </w:r>
            <w:proofErr w:type="spellEnd"/>
            <w:r>
              <w:rPr>
                <w:color w:val="3C3C3C"/>
                <w:sz w:val="19"/>
                <w:szCs w:val="19"/>
              </w:rPr>
              <w:t xml:space="preserve"> state </w:t>
            </w:r>
            <w:proofErr w:type="spellStart"/>
            <w:r>
              <w:rPr>
                <w:color w:val="3C3C3C"/>
                <w:sz w:val="19"/>
                <w:szCs w:val="19"/>
              </w:rPr>
              <w:t>victorious</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94" w14:textId="77777777" w:rsidR="00804D20" w:rsidRDefault="00B968B3">
            <w:pPr>
              <w:spacing w:before="40" w:after="40"/>
            </w:pPr>
            <w:proofErr w:type="spellStart"/>
            <w:r>
              <w:rPr>
                <w:color w:val="3C3C3C"/>
                <w:sz w:val="19"/>
                <w:szCs w:val="19"/>
              </w:rPr>
              <w:t>Perpetrating</w:t>
            </w:r>
            <w:proofErr w:type="spellEnd"/>
            <w:r>
              <w:rPr>
                <w:color w:val="3C3C3C"/>
                <w:sz w:val="19"/>
                <w:szCs w:val="19"/>
              </w:rPr>
              <w:t xml:space="preserve"> state </w:t>
            </w:r>
            <w:proofErr w:type="spellStart"/>
            <w:r>
              <w:rPr>
                <w:color w:val="3C3C3C"/>
                <w:sz w:val="19"/>
                <w:szCs w:val="19"/>
              </w:rPr>
              <w:t>ongoing</w:t>
            </w:r>
            <w:proofErr w:type="spellEnd"/>
          </w:p>
        </w:tc>
      </w:tr>
      <w:tr w:rsidR="00804D20" w14:paraId="0249C89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5E0F0"/>
            <w:tcMar>
              <w:top w:w="80" w:type="dxa"/>
              <w:left w:w="120" w:type="dxa"/>
              <w:bottom w:w="80" w:type="dxa"/>
              <w:right w:w="120" w:type="dxa"/>
            </w:tcMar>
          </w:tcPr>
          <w:p w14:paraId="0249C896" w14:textId="77777777" w:rsidR="00804D20" w:rsidRDefault="00B968B3">
            <w:pPr>
              <w:spacing w:before="40" w:after="40"/>
            </w:pPr>
            <w:proofErr w:type="spellStart"/>
            <w:r>
              <w:rPr>
                <w:b/>
                <w:bCs/>
                <w:color w:val="1B2A4A"/>
                <w:sz w:val="19"/>
                <w:szCs w:val="19"/>
              </w:rPr>
              <w:t>Intentionality</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97" w14:textId="77777777" w:rsidR="00804D20" w:rsidRPr="006D27E0" w:rsidRDefault="00B968B3">
            <w:pPr>
              <w:spacing w:before="40" w:after="40"/>
              <w:rPr>
                <w:lang w:val="en-US"/>
              </w:rPr>
            </w:pPr>
            <w:r w:rsidRPr="006D27E0">
              <w:rPr>
                <w:color w:val="3C3C3C"/>
                <w:sz w:val="19"/>
                <w:szCs w:val="19"/>
                <w:lang w:val="en-US"/>
              </w:rPr>
              <w:t>Fully documented (Wannsee, T4, Einsatzgruppen)</w:t>
            </w:r>
          </w:p>
        </w:tc>
        <w:tc>
          <w:tcPr>
            <w:tcW w:w="232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98" w14:textId="77777777" w:rsidR="00804D20" w:rsidRPr="006D27E0" w:rsidRDefault="00B968B3">
            <w:pPr>
              <w:spacing w:before="40" w:after="40"/>
              <w:rPr>
                <w:lang w:val="en-US"/>
              </w:rPr>
            </w:pPr>
            <w:r w:rsidRPr="006D27E0">
              <w:rPr>
                <w:color w:val="3C3C3C"/>
                <w:sz w:val="19"/>
                <w:szCs w:val="19"/>
                <w:lang w:val="en-US"/>
              </w:rPr>
              <w:t>Fully documented (Politburo directives, blockade orders)</w:t>
            </w:r>
          </w:p>
        </w:tc>
        <w:tc>
          <w:tcPr>
            <w:tcW w:w="232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99" w14:textId="77777777" w:rsidR="00804D20" w:rsidRDefault="00B968B3">
            <w:pPr>
              <w:spacing w:before="40" w:after="40"/>
            </w:pPr>
            <w:proofErr w:type="spellStart"/>
            <w:r>
              <w:rPr>
                <w:color w:val="3C3C3C"/>
                <w:sz w:val="19"/>
                <w:szCs w:val="19"/>
              </w:rPr>
              <w:t>Claimed</w:t>
            </w:r>
            <w:proofErr w:type="spellEnd"/>
            <w:r>
              <w:rPr>
                <w:color w:val="3C3C3C"/>
                <w:sz w:val="19"/>
                <w:szCs w:val="19"/>
              </w:rPr>
              <w:t xml:space="preserve"> — </w:t>
            </w:r>
            <w:proofErr w:type="spellStart"/>
            <w:r>
              <w:rPr>
                <w:color w:val="3C3C3C"/>
                <w:sz w:val="19"/>
                <w:szCs w:val="19"/>
              </w:rPr>
              <w:t>requires</w:t>
            </w:r>
            <w:proofErr w:type="spellEnd"/>
            <w:r>
              <w:rPr>
                <w:color w:val="3C3C3C"/>
                <w:sz w:val="19"/>
                <w:szCs w:val="19"/>
              </w:rPr>
              <w:t xml:space="preserve"> </w:t>
            </w:r>
            <w:proofErr w:type="spellStart"/>
            <w:r>
              <w:rPr>
                <w:color w:val="3C3C3C"/>
                <w:sz w:val="19"/>
                <w:szCs w:val="19"/>
              </w:rPr>
              <w:t>empirical</w:t>
            </w:r>
            <w:proofErr w:type="spellEnd"/>
            <w:r>
              <w:rPr>
                <w:color w:val="3C3C3C"/>
                <w:sz w:val="19"/>
                <w:szCs w:val="19"/>
              </w:rPr>
              <w:t xml:space="preserve"> </w:t>
            </w:r>
            <w:proofErr w:type="spellStart"/>
            <w:r>
              <w:rPr>
                <w:color w:val="3C3C3C"/>
                <w:sz w:val="19"/>
                <w:szCs w:val="19"/>
              </w:rPr>
              <w:t>development</w:t>
            </w:r>
            <w:proofErr w:type="spellEnd"/>
          </w:p>
        </w:tc>
      </w:tr>
      <w:tr w:rsidR="00804D20" w14:paraId="0249C89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EF8"/>
            <w:tcMar>
              <w:top w:w="80" w:type="dxa"/>
              <w:left w:w="120" w:type="dxa"/>
              <w:bottom w:w="80" w:type="dxa"/>
              <w:right w:w="120" w:type="dxa"/>
            </w:tcMar>
          </w:tcPr>
          <w:p w14:paraId="0249C89B" w14:textId="77777777" w:rsidR="00804D20" w:rsidRDefault="00B968B3">
            <w:pPr>
              <w:spacing w:before="40" w:after="40"/>
            </w:pPr>
            <w:r>
              <w:rPr>
                <w:b/>
                <w:bCs/>
                <w:color w:val="1B2A4A"/>
                <w:sz w:val="19"/>
                <w:szCs w:val="19"/>
              </w:rPr>
              <w:t xml:space="preserve">Scale of </w:t>
            </w:r>
            <w:proofErr w:type="spellStart"/>
            <w:r>
              <w:rPr>
                <w:b/>
                <w:bCs/>
                <w:color w:val="1B2A4A"/>
                <w:sz w:val="19"/>
                <w:szCs w:val="19"/>
              </w:rPr>
              <w:t>mortality</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9C" w14:textId="77777777" w:rsidR="00804D20" w:rsidRDefault="00B968B3">
            <w:pPr>
              <w:spacing w:before="40" w:after="40"/>
            </w:pPr>
            <w:r>
              <w:rPr>
                <w:color w:val="3C3C3C"/>
                <w:sz w:val="19"/>
                <w:szCs w:val="19"/>
              </w:rPr>
              <w:t xml:space="preserve">6–17 </w:t>
            </w:r>
            <w:proofErr w:type="spellStart"/>
            <w:r>
              <w:rPr>
                <w:color w:val="3C3C3C"/>
                <w:sz w:val="19"/>
                <w:szCs w:val="19"/>
              </w:rPr>
              <w:t>million</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9D" w14:textId="77777777" w:rsidR="00804D20" w:rsidRDefault="00B968B3">
            <w:pPr>
              <w:spacing w:before="40" w:after="40"/>
            </w:pPr>
            <w:r>
              <w:rPr>
                <w:color w:val="3C3C3C"/>
                <w:sz w:val="19"/>
                <w:szCs w:val="19"/>
              </w:rPr>
              <w:t xml:space="preserve">3.9–10 </w:t>
            </w:r>
            <w:proofErr w:type="spellStart"/>
            <w:r>
              <w:rPr>
                <w:color w:val="3C3C3C"/>
                <w:sz w:val="19"/>
                <w:szCs w:val="19"/>
              </w:rPr>
              <w:t>million</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9E" w14:textId="77777777" w:rsidR="00804D20" w:rsidRDefault="00B968B3">
            <w:pPr>
              <w:spacing w:before="40" w:after="40"/>
            </w:pPr>
            <w:proofErr w:type="spellStart"/>
            <w:r>
              <w:rPr>
                <w:color w:val="3C3C3C"/>
                <w:sz w:val="19"/>
                <w:szCs w:val="19"/>
              </w:rPr>
              <w:t>Potentially</w:t>
            </w:r>
            <w:proofErr w:type="spellEnd"/>
            <w:r>
              <w:rPr>
                <w:color w:val="3C3C3C"/>
                <w:sz w:val="19"/>
                <w:szCs w:val="19"/>
              </w:rPr>
              <w:t xml:space="preserve"> comparable — </w:t>
            </w:r>
            <w:proofErr w:type="spellStart"/>
            <w:r>
              <w:rPr>
                <w:color w:val="3C3C3C"/>
                <w:sz w:val="19"/>
                <w:szCs w:val="19"/>
              </w:rPr>
              <w:t>requires</w:t>
            </w:r>
            <w:proofErr w:type="spellEnd"/>
            <w:r>
              <w:rPr>
                <w:color w:val="3C3C3C"/>
                <w:sz w:val="19"/>
                <w:szCs w:val="19"/>
              </w:rPr>
              <w:t xml:space="preserve"> </w:t>
            </w:r>
            <w:proofErr w:type="spellStart"/>
            <w:r>
              <w:rPr>
                <w:color w:val="3C3C3C"/>
                <w:sz w:val="19"/>
                <w:szCs w:val="19"/>
              </w:rPr>
              <w:t>measurement</w:t>
            </w:r>
            <w:proofErr w:type="spellEnd"/>
          </w:p>
        </w:tc>
      </w:tr>
      <w:tr w:rsidR="00804D20" w:rsidRPr="006D27E0" w14:paraId="0249C8A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5E0F0"/>
            <w:tcMar>
              <w:top w:w="80" w:type="dxa"/>
              <w:left w:w="120" w:type="dxa"/>
              <w:bottom w:w="80" w:type="dxa"/>
              <w:right w:w="120" w:type="dxa"/>
            </w:tcMar>
          </w:tcPr>
          <w:p w14:paraId="0249C8A0" w14:textId="77777777" w:rsidR="00804D20" w:rsidRDefault="00B968B3">
            <w:pPr>
              <w:spacing w:before="40" w:after="40"/>
            </w:pPr>
            <w:r>
              <w:rPr>
                <w:b/>
                <w:bCs/>
                <w:color w:val="1B2A4A"/>
                <w:sz w:val="19"/>
                <w:szCs w:val="19"/>
              </w:rPr>
              <w:t>International accountability</w:t>
            </w:r>
          </w:p>
        </w:tc>
        <w:tc>
          <w:tcPr>
            <w:tcW w:w="232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A1" w14:textId="77777777" w:rsidR="00804D20" w:rsidRPr="006D27E0" w:rsidRDefault="00B968B3">
            <w:pPr>
              <w:spacing w:before="40" w:after="40"/>
              <w:rPr>
                <w:lang w:val="en-US"/>
              </w:rPr>
            </w:pPr>
            <w:r w:rsidRPr="006D27E0">
              <w:rPr>
                <w:color w:val="3C3C3C"/>
                <w:sz w:val="19"/>
                <w:szCs w:val="19"/>
                <w:lang w:val="en-US"/>
              </w:rPr>
              <w:t>Full: Nuremberg Trials, death sentences</w:t>
            </w:r>
          </w:p>
        </w:tc>
        <w:tc>
          <w:tcPr>
            <w:tcW w:w="232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A2" w14:textId="77777777" w:rsidR="00804D20" w:rsidRPr="006D27E0" w:rsidRDefault="00B968B3">
            <w:pPr>
              <w:spacing w:before="40" w:after="40"/>
              <w:rPr>
                <w:lang w:val="en-US"/>
              </w:rPr>
            </w:pPr>
            <w:r w:rsidRPr="006D27E0">
              <w:rPr>
                <w:color w:val="3C3C3C"/>
                <w:sz w:val="19"/>
                <w:szCs w:val="19"/>
                <w:lang w:val="en-US"/>
              </w:rPr>
              <w:t>Zero: posthumous Ukrainian proceedings only</w:t>
            </w:r>
          </w:p>
        </w:tc>
        <w:tc>
          <w:tcPr>
            <w:tcW w:w="232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A3" w14:textId="77777777" w:rsidR="00804D20" w:rsidRPr="006D27E0" w:rsidRDefault="00B968B3">
            <w:pPr>
              <w:spacing w:before="40" w:after="40"/>
              <w:rPr>
                <w:lang w:val="en-US"/>
              </w:rPr>
            </w:pPr>
            <w:r w:rsidRPr="006D27E0">
              <w:rPr>
                <w:color w:val="3C3C3C"/>
                <w:sz w:val="19"/>
                <w:szCs w:val="19"/>
                <w:lang w:val="en-US"/>
              </w:rPr>
              <w:t>None yet: requires prospective criminalisation</w:t>
            </w:r>
          </w:p>
        </w:tc>
      </w:tr>
      <w:tr w:rsidR="00804D20" w:rsidRPr="006D27E0" w14:paraId="0249C8A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EF8"/>
            <w:tcMar>
              <w:top w:w="80" w:type="dxa"/>
              <w:left w:w="120" w:type="dxa"/>
              <w:bottom w:w="80" w:type="dxa"/>
              <w:right w:w="120" w:type="dxa"/>
            </w:tcMar>
          </w:tcPr>
          <w:p w14:paraId="0249C8A5" w14:textId="77777777" w:rsidR="00804D20" w:rsidRDefault="00B968B3">
            <w:pPr>
              <w:spacing w:before="40" w:after="40"/>
            </w:pPr>
            <w:r>
              <w:rPr>
                <w:b/>
                <w:bCs/>
                <w:color w:val="1B2A4A"/>
                <w:sz w:val="19"/>
                <w:szCs w:val="19"/>
              </w:rPr>
              <w:t xml:space="preserve">Current </w:t>
            </w:r>
            <w:proofErr w:type="spellStart"/>
            <w:r>
              <w:rPr>
                <w:b/>
                <w:bCs/>
                <w:color w:val="1B2A4A"/>
                <w:sz w:val="19"/>
                <w:szCs w:val="19"/>
              </w:rPr>
              <w:t>legal</w:t>
            </w:r>
            <w:proofErr w:type="spellEnd"/>
            <w:r>
              <w:rPr>
                <w:b/>
                <w:bCs/>
                <w:color w:val="1B2A4A"/>
                <w:sz w:val="19"/>
                <w:szCs w:val="19"/>
              </w:rPr>
              <w:t xml:space="preserve"> status</w:t>
            </w:r>
          </w:p>
        </w:tc>
        <w:tc>
          <w:tcPr>
            <w:tcW w:w="232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A6" w14:textId="77777777" w:rsidR="00804D20" w:rsidRPr="006D27E0" w:rsidRDefault="00B968B3">
            <w:pPr>
              <w:spacing w:before="40" w:after="40"/>
              <w:rPr>
                <w:lang w:val="en-US"/>
              </w:rPr>
            </w:pPr>
            <w:r w:rsidRPr="006D27E0">
              <w:rPr>
                <w:color w:val="3C3C3C"/>
                <w:sz w:val="19"/>
                <w:szCs w:val="19"/>
                <w:lang w:val="en-US"/>
              </w:rPr>
              <w:t>Crimes Against Humanity / Genocide — universally recognised</w:t>
            </w:r>
          </w:p>
        </w:tc>
        <w:tc>
          <w:tcPr>
            <w:tcW w:w="232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A7" w14:textId="77777777" w:rsidR="00804D20" w:rsidRDefault="00B968B3">
            <w:pPr>
              <w:spacing w:before="40" w:after="40"/>
            </w:pPr>
            <w:r>
              <w:rPr>
                <w:color w:val="3C3C3C"/>
                <w:sz w:val="19"/>
                <w:szCs w:val="19"/>
              </w:rPr>
              <w:t xml:space="preserve">Genocide — </w:t>
            </w:r>
            <w:proofErr w:type="spellStart"/>
            <w:r>
              <w:rPr>
                <w:color w:val="3C3C3C"/>
                <w:sz w:val="19"/>
                <w:szCs w:val="19"/>
              </w:rPr>
              <w:t>recognised</w:t>
            </w:r>
            <w:proofErr w:type="spellEnd"/>
            <w:r>
              <w:rPr>
                <w:color w:val="3C3C3C"/>
                <w:sz w:val="19"/>
                <w:szCs w:val="19"/>
              </w:rPr>
              <w:t xml:space="preserve"> by ~35 </w:t>
            </w:r>
            <w:proofErr w:type="spellStart"/>
            <w:r>
              <w:rPr>
                <w:color w:val="3C3C3C"/>
                <w:sz w:val="19"/>
                <w:szCs w:val="19"/>
              </w:rPr>
              <w:t>states</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249C8A8" w14:textId="77777777" w:rsidR="00804D20" w:rsidRPr="006D27E0" w:rsidRDefault="00B968B3">
            <w:pPr>
              <w:spacing w:before="40" w:after="40"/>
              <w:rPr>
                <w:lang w:val="en-US"/>
              </w:rPr>
            </w:pPr>
            <w:r w:rsidRPr="006D27E0">
              <w:rPr>
                <w:color w:val="3C3C3C"/>
                <w:sz w:val="19"/>
                <w:szCs w:val="19"/>
                <w:lang w:val="en-US"/>
              </w:rPr>
              <w:t>Not yet legally defined — this framework proposes definition</w:t>
            </w:r>
          </w:p>
        </w:tc>
      </w:tr>
      <w:tr w:rsidR="00804D20" w:rsidRPr="006D27E0" w14:paraId="0249C8A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5E0F0"/>
            <w:tcMar>
              <w:top w:w="80" w:type="dxa"/>
              <w:left w:w="120" w:type="dxa"/>
              <w:bottom w:w="80" w:type="dxa"/>
              <w:right w:w="120" w:type="dxa"/>
            </w:tcMar>
          </w:tcPr>
          <w:p w14:paraId="0249C8AA" w14:textId="77777777" w:rsidR="00804D20" w:rsidRDefault="00B968B3">
            <w:pPr>
              <w:spacing w:before="40" w:after="40"/>
            </w:pPr>
            <w:r>
              <w:rPr>
                <w:b/>
                <w:bCs/>
                <w:color w:val="1B2A4A"/>
                <w:sz w:val="19"/>
                <w:szCs w:val="19"/>
              </w:rPr>
              <w:t xml:space="preserve">Lesson for </w:t>
            </w:r>
            <w:proofErr w:type="spellStart"/>
            <w:r>
              <w:rPr>
                <w:b/>
                <w:bCs/>
                <w:color w:val="1B2A4A"/>
                <w:sz w:val="19"/>
                <w:szCs w:val="19"/>
              </w:rPr>
              <w:t>law</w:t>
            </w:r>
            <w:proofErr w:type="spellEnd"/>
          </w:p>
        </w:tc>
        <w:tc>
          <w:tcPr>
            <w:tcW w:w="232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AB" w14:textId="77777777" w:rsidR="00804D20" w:rsidRPr="006D27E0" w:rsidRDefault="00B968B3">
            <w:pPr>
              <w:spacing w:before="40" w:after="40"/>
              <w:rPr>
                <w:lang w:val="en-US"/>
              </w:rPr>
            </w:pPr>
            <w:r w:rsidRPr="006D27E0">
              <w:rPr>
                <w:color w:val="3C3C3C"/>
                <w:sz w:val="19"/>
                <w:szCs w:val="19"/>
                <w:lang w:val="en-US"/>
              </w:rPr>
              <w:t>International criminal law can be created and applied swiftly where political will exists</w:t>
            </w:r>
          </w:p>
        </w:tc>
        <w:tc>
          <w:tcPr>
            <w:tcW w:w="232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AC" w14:textId="77777777" w:rsidR="00804D20" w:rsidRPr="006D27E0" w:rsidRDefault="00B968B3">
            <w:pPr>
              <w:spacing w:before="40" w:after="40"/>
              <w:rPr>
                <w:lang w:val="en-US"/>
              </w:rPr>
            </w:pPr>
            <w:r w:rsidRPr="006D27E0">
              <w:rPr>
                <w:color w:val="3C3C3C"/>
                <w:sz w:val="19"/>
                <w:szCs w:val="19"/>
                <w:lang w:val="en-US"/>
              </w:rPr>
              <w:t>Accountability requires prospective law; survival of perpetrating state defeats retroactive model</w:t>
            </w:r>
          </w:p>
        </w:tc>
        <w:tc>
          <w:tcPr>
            <w:tcW w:w="2320" w:type="dxa"/>
            <w:tcBorders>
              <w:top w:val="single" w:sz="1" w:space="0" w:color="CCCCCC"/>
              <w:left w:val="single" w:sz="1" w:space="0" w:color="CCCCCC"/>
              <w:bottom w:val="single" w:sz="1" w:space="0" w:color="CCCCCC"/>
              <w:right w:val="single" w:sz="1" w:space="0" w:color="CCCCCC"/>
            </w:tcBorders>
            <w:shd w:val="clear" w:color="auto" w:fill="EEF1F7"/>
            <w:tcMar>
              <w:top w:w="80" w:type="dxa"/>
              <w:left w:w="120" w:type="dxa"/>
              <w:bottom w:w="80" w:type="dxa"/>
              <w:right w:w="120" w:type="dxa"/>
            </w:tcMar>
          </w:tcPr>
          <w:p w14:paraId="0249C8AD" w14:textId="77777777" w:rsidR="00804D20" w:rsidRPr="006D27E0" w:rsidRDefault="00B968B3">
            <w:pPr>
              <w:spacing w:before="40" w:after="40"/>
              <w:rPr>
                <w:lang w:val="en-US"/>
              </w:rPr>
            </w:pPr>
            <w:r w:rsidRPr="006D27E0">
              <w:rPr>
                <w:color w:val="3C3C3C"/>
                <w:sz w:val="19"/>
                <w:szCs w:val="19"/>
                <w:lang w:val="en-US"/>
              </w:rPr>
              <w:t>Prospective criminalisation is legally feasible and morally necessary</w:t>
            </w:r>
          </w:p>
        </w:tc>
      </w:tr>
    </w:tbl>
    <w:p w14:paraId="0249C8AF" w14:textId="77777777" w:rsidR="00804D20" w:rsidRPr="006D27E0" w:rsidRDefault="00804D20">
      <w:pPr>
        <w:spacing w:before="200"/>
        <w:rPr>
          <w:lang w:val="en-US"/>
        </w:rPr>
      </w:pPr>
    </w:p>
    <w:p w14:paraId="0249C8B0" w14:textId="77777777" w:rsidR="00804D20" w:rsidRPr="006D27E0" w:rsidRDefault="00B968B3">
      <w:pPr>
        <w:pStyle w:val="Heading2"/>
        <w:rPr>
          <w:lang w:val="en-US"/>
        </w:rPr>
      </w:pPr>
      <w:r w:rsidRPr="006D27E0">
        <w:rPr>
          <w:lang w:val="en-US"/>
        </w:rPr>
        <w:t>6.2  Conclusions</w:t>
      </w:r>
    </w:p>
    <w:p w14:paraId="0249C8B1" w14:textId="77777777" w:rsidR="00804D20" w:rsidRPr="006D27E0" w:rsidRDefault="00B968B3">
      <w:pPr>
        <w:spacing w:before="100" w:after="100"/>
        <w:jc w:val="both"/>
        <w:rPr>
          <w:lang w:val="en-US"/>
        </w:rPr>
      </w:pPr>
      <w:r w:rsidRPr="006D27E0">
        <w:rPr>
          <w:color w:val="3C3C3C"/>
          <w:lang w:val="en-US"/>
        </w:rPr>
        <w:t>This analysis has established the following findings:</w:t>
      </w:r>
    </w:p>
    <w:p w14:paraId="0249C8B2" w14:textId="77777777" w:rsidR="00804D20" w:rsidRDefault="00B968B3">
      <w:pPr>
        <w:pStyle w:val="ListParagraph"/>
        <w:numPr>
          <w:ilvl w:val="0"/>
          <w:numId w:val="2"/>
        </w:numPr>
        <w:spacing w:before="60" w:after="60"/>
      </w:pPr>
      <w:r w:rsidRPr="006D27E0">
        <w:rPr>
          <w:b/>
          <w:bCs/>
          <w:color w:val="1B2A4A"/>
          <w:sz w:val="21"/>
          <w:szCs w:val="21"/>
          <w:lang w:val="en-US"/>
        </w:rPr>
        <w:t xml:space="preserve">1. </w:t>
      </w:r>
      <w:r w:rsidRPr="006D27E0">
        <w:rPr>
          <w:color w:val="3C3C3C"/>
          <w:sz w:val="21"/>
          <w:szCs w:val="21"/>
          <w:lang w:val="en-US"/>
        </w:rPr>
        <w:t xml:space="preserve">The death sentences at Nuremberg were founded on the principle of individual criminal responsibility for mass death produced by deliberate state policy, with the operative criterion being personal proximity to the killing apparatus. </w:t>
      </w:r>
      <w:r>
        <w:rPr>
          <w:color w:val="3C3C3C"/>
          <w:sz w:val="21"/>
          <w:szCs w:val="21"/>
        </w:rPr>
        <w:t xml:space="preserve">The </w:t>
      </w:r>
      <w:proofErr w:type="spellStart"/>
      <w:r>
        <w:rPr>
          <w:color w:val="3C3C3C"/>
          <w:sz w:val="21"/>
          <w:szCs w:val="21"/>
        </w:rPr>
        <w:t>mechanism</w:t>
      </w:r>
      <w:proofErr w:type="spellEnd"/>
      <w:r>
        <w:rPr>
          <w:color w:val="3C3C3C"/>
          <w:sz w:val="21"/>
          <w:szCs w:val="21"/>
        </w:rPr>
        <w:t xml:space="preserve"> of </w:t>
      </w:r>
      <w:proofErr w:type="spellStart"/>
      <w:r>
        <w:rPr>
          <w:color w:val="3C3C3C"/>
          <w:sz w:val="21"/>
          <w:szCs w:val="21"/>
        </w:rPr>
        <w:t>killing</w:t>
      </w:r>
      <w:proofErr w:type="spellEnd"/>
      <w:r>
        <w:rPr>
          <w:color w:val="3C3C3C"/>
          <w:sz w:val="21"/>
          <w:szCs w:val="21"/>
        </w:rPr>
        <w:t xml:space="preserve"> </w:t>
      </w:r>
      <w:proofErr w:type="spellStart"/>
      <w:r>
        <w:rPr>
          <w:color w:val="3C3C3C"/>
          <w:sz w:val="21"/>
          <w:szCs w:val="21"/>
        </w:rPr>
        <w:t>was</w:t>
      </w:r>
      <w:proofErr w:type="spellEnd"/>
      <w:r>
        <w:rPr>
          <w:color w:val="3C3C3C"/>
          <w:sz w:val="21"/>
          <w:szCs w:val="21"/>
        </w:rPr>
        <w:t xml:space="preserve"> </w:t>
      </w:r>
      <w:proofErr w:type="spellStart"/>
      <w:r>
        <w:rPr>
          <w:color w:val="3C3C3C"/>
          <w:sz w:val="21"/>
          <w:szCs w:val="21"/>
        </w:rPr>
        <w:t>legally</w:t>
      </w:r>
      <w:proofErr w:type="spellEnd"/>
      <w:r>
        <w:rPr>
          <w:color w:val="3C3C3C"/>
          <w:sz w:val="21"/>
          <w:szCs w:val="21"/>
        </w:rPr>
        <w:t xml:space="preserve"> </w:t>
      </w:r>
      <w:proofErr w:type="spellStart"/>
      <w:r>
        <w:rPr>
          <w:color w:val="3C3C3C"/>
          <w:sz w:val="21"/>
          <w:szCs w:val="21"/>
        </w:rPr>
        <w:t>irrelevant</w:t>
      </w:r>
      <w:proofErr w:type="spellEnd"/>
      <w:r>
        <w:rPr>
          <w:color w:val="3C3C3C"/>
          <w:sz w:val="21"/>
          <w:szCs w:val="21"/>
        </w:rPr>
        <w:t>.</w:t>
      </w:r>
    </w:p>
    <w:p w14:paraId="0249C8B3"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2. </w:t>
      </w:r>
      <w:r w:rsidRPr="006D27E0">
        <w:rPr>
          <w:color w:val="3C3C3C"/>
          <w:sz w:val="21"/>
          <w:szCs w:val="21"/>
          <w:lang w:val="en-US"/>
        </w:rPr>
        <w:t>The Holodomor satisfies every material element of Crimes Against Humanity and genocide as defined by post-Nuremberg international law. Its total impunity was a product of political contingency — the survival of the perpetrating state — not of legal inadequacy.</w:t>
      </w:r>
    </w:p>
    <w:p w14:paraId="0249C8B4"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3. </w:t>
      </w:r>
      <w:r w:rsidRPr="006D27E0">
        <w:rPr>
          <w:color w:val="3C3C3C"/>
          <w:sz w:val="21"/>
          <w:szCs w:val="21"/>
          <w:lang w:val="en-US"/>
        </w:rPr>
        <w:t>The comparison of the two cases establishes that the Nuremberg accountability model is contingent on the defeat of the perpetrating state. Where the state survives, only prospective criminalisation — the creation of legal prohibitions in advance — can ensure accountability.</w:t>
      </w:r>
    </w:p>
    <w:p w14:paraId="0249C8B5"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4. </w:t>
      </w:r>
      <w:r w:rsidRPr="006D27E0">
        <w:rPr>
          <w:color w:val="3C3C3C"/>
          <w:sz w:val="21"/>
          <w:szCs w:val="21"/>
          <w:lang w:val="en-US"/>
        </w:rPr>
        <w:t>Holoviceosis, as defined by Mattos Neto, constitutes a structural extension of the same analytical category: state-organised mass destruction through the deliberate manipulation of the conditions of human flourishing. It differs from the Holocaust and Holodomor not in moral character, but in the greater diffusion and invisibility of its mechanism.</w:t>
      </w:r>
    </w:p>
    <w:p w14:paraId="0249C8B6"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t xml:space="preserve">5. </w:t>
      </w:r>
      <w:r w:rsidRPr="006D27E0">
        <w:rPr>
          <w:color w:val="3C3C3C"/>
          <w:sz w:val="21"/>
          <w:szCs w:val="21"/>
          <w:lang w:val="en-US"/>
        </w:rPr>
        <w:t xml:space="preserve">The proposed elements of the crime of Holoviceosis — Actus Reus, Material Result, Mens Rea, Policy Element, Scale, and Individual Responsibility — </w:t>
      </w:r>
      <w:r w:rsidRPr="002B749E">
        <w:rPr>
          <w:b/>
          <w:bCs/>
          <w:color w:val="3C3C3C"/>
          <w:sz w:val="21"/>
          <w:szCs w:val="21"/>
          <w:u w:val="single"/>
          <w:lang w:val="en-US"/>
        </w:rPr>
        <w:t>are legally coherent and fully consistent with the existing architecture of international criminal law</w:t>
      </w:r>
      <w:r w:rsidRPr="006D27E0">
        <w:rPr>
          <w:color w:val="3C3C3C"/>
          <w:sz w:val="21"/>
          <w:szCs w:val="21"/>
          <w:lang w:val="en-US"/>
        </w:rPr>
        <w:t>.</w:t>
      </w:r>
    </w:p>
    <w:p w14:paraId="0249C8B7" w14:textId="77777777" w:rsidR="00804D20" w:rsidRPr="006D27E0" w:rsidRDefault="00B968B3">
      <w:pPr>
        <w:pStyle w:val="ListParagraph"/>
        <w:numPr>
          <w:ilvl w:val="0"/>
          <w:numId w:val="2"/>
        </w:numPr>
        <w:spacing w:before="60" w:after="60"/>
        <w:rPr>
          <w:lang w:val="en-US"/>
        </w:rPr>
      </w:pPr>
      <w:r w:rsidRPr="006D27E0">
        <w:rPr>
          <w:b/>
          <w:bCs/>
          <w:color w:val="1B2A4A"/>
          <w:sz w:val="21"/>
          <w:szCs w:val="21"/>
          <w:lang w:val="en-US"/>
        </w:rPr>
        <w:lastRenderedPageBreak/>
        <w:t xml:space="preserve">6. </w:t>
      </w:r>
      <w:r w:rsidRPr="006D27E0">
        <w:rPr>
          <w:color w:val="3C3C3C"/>
          <w:sz w:val="21"/>
          <w:szCs w:val="21"/>
          <w:lang w:val="en-US"/>
        </w:rPr>
        <w:t>The central challenge is empirical rather than juridical: establishing intentionality, causal attribution, and scale through the development of measurable instruments (Virtue Inversion Index), epidemiological methodology, and archival investigation comparable to the documentary work that sustained the Nuremberg prosecutions.</w:t>
      </w:r>
    </w:p>
    <w:p w14:paraId="0249C8B8" w14:textId="77777777" w:rsidR="00804D20" w:rsidRPr="006D27E0" w:rsidRDefault="00B968B3">
      <w:pPr>
        <w:spacing w:before="100" w:after="100"/>
        <w:jc w:val="both"/>
        <w:rPr>
          <w:lang w:val="en-US"/>
        </w:rPr>
      </w:pPr>
      <w:r w:rsidRPr="006D27E0">
        <w:rPr>
          <w:color w:val="3C3C3C"/>
          <w:lang w:val="en-US"/>
        </w:rPr>
        <w:t xml:space="preserve">The Nuremberg Tribunal held that 'the record on which we judge these defendants today is the record on which history will judge us tomorrow.' The Holodomor's impunity stands as history's judgment on the failure to create the institutional conditions for accountability. The criminalisation of Holoviceosis is the prospective correction of both failures — the completion, in advance, of a legal architecture adequate to the full range of mechanisms through which states and organisations </w:t>
      </w:r>
      <w:r w:rsidRPr="002B749E">
        <w:rPr>
          <w:color w:val="3C3C3C"/>
          <w:u w:val="single"/>
          <w:lang w:val="en-US"/>
        </w:rPr>
        <w:t>organise the destruction of the human capacity for freedom and flourishing</w:t>
      </w:r>
      <w:r w:rsidRPr="006D27E0">
        <w:rPr>
          <w:color w:val="3C3C3C"/>
          <w:lang w:val="en-US"/>
        </w:rPr>
        <w:t>.</w:t>
      </w:r>
    </w:p>
    <w:p w14:paraId="0249C8B9" w14:textId="77777777" w:rsidR="00804D20" w:rsidRPr="006D27E0" w:rsidRDefault="00B968B3">
      <w:pPr>
        <w:pBdr>
          <w:left w:val="single" w:sz="12" w:space="8" w:color="B8972A"/>
        </w:pBdr>
        <w:spacing w:before="160" w:after="160"/>
        <w:ind w:left="720" w:right="720"/>
        <w:jc w:val="both"/>
        <w:rPr>
          <w:lang w:val="pt-BR"/>
        </w:rPr>
      </w:pPr>
      <w:r w:rsidRPr="006D27E0">
        <w:rPr>
          <w:i/>
          <w:iCs/>
          <w:color w:val="666666"/>
          <w:sz w:val="21"/>
          <w:szCs w:val="21"/>
          <w:lang w:val="en-US"/>
        </w:rPr>
        <w:t xml:space="preserve">"The obedient are the perfect slaves. That country is always sick. </w:t>
      </w:r>
      <w:r w:rsidRPr="006D27E0">
        <w:rPr>
          <w:i/>
          <w:iCs/>
          <w:color w:val="666666"/>
          <w:sz w:val="21"/>
          <w:szCs w:val="21"/>
          <w:lang w:val="pt-BR"/>
        </w:rPr>
        <w:t>It feeds on vices." — José Caetano de Mattos Neto, Filosofia das Virtudes, 2023</w:t>
      </w:r>
    </w:p>
    <w:p w14:paraId="0249C8BA" w14:textId="77777777" w:rsidR="00804D20" w:rsidRPr="006D27E0" w:rsidRDefault="00804D20">
      <w:pPr>
        <w:spacing w:before="400"/>
        <w:rPr>
          <w:lang w:val="pt-BR"/>
        </w:rPr>
      </w:pPr>
    </w:p>
    <w:p w14:paraId="0249C8BB" w14:textId="77777777" w:rsidR="00804D20" w:rsidRPr="006D27E0" w:rsidRDefault="00804D20">
      <w:pPr>
        <w:pBdr>
          <w:bottom w:val="single" w:sz="8" w:space="1" w:color="B8972A"/>
        </w:pBdr>
        <w:spacing w:after="120"/>
        <w:rPr>
          <w:lang w:val="pt-BR"/>
        </w:rPr>
      </w:pPr>
    </w:p>
    <w:p w14:paraId="0249C8BC" w14:textId="77777777" w:rsidR="00804D20" w:rsidRPr="006D27E0" w:rsidRDefault="00B968B3">
      <w:pPr>
        <w:spacing w:before="120"/>
        <w:jc w:val="center"/>
        <w:rPr>
          <w:lang w:val="pt-BR"/>
        </w:rPr>
      </w:pPr>
      <w:r w:rsidRPr="006D27E0">
        <w:rPr>
          <w:i/>
          <w:iCs/>
          <w:color w:val="666666"/>
          <w:sz w:val="18"/>
          <w:szCs w:val="18"/>
          <w:lang w:val="en-US"/>
        </w:rPr>
        <w:t xml:space="preserve">Analysis prepared from primary sources on the Nuremberg Trials, the Ukrainian Prosecutor General's pre-trial investigation of the Holodomor (2009–2019), the Rome Statute of the International Criminal Court (1998), and Mattos Neto, José Caetano de. </w:t>
      </w:r>
      <w:r w:rsidRPr="006D27E0">
        <w:rPr>
          <w:i/>
          <w:iCs/>
          <w:color w:val="666666"/>
          <w:sz w:val="18"/>
          <w:szCs w:val="18"/>
          <w:lang w:val="pt-BR"/>
        </w:rPr>
        <w:t>Filosofia das Virtudes — Manifesto das Virtudes. Rio de Janeiro, 2023.  ·  March 2026</w:t>
      </w:r>
    </w:p>
    <w:sectPr w:rsidR="00804D20" w:rsidRPr="006D27E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A1FF7"/>
    <w:multiLevelType w:val="hybridMultilevel"/>
    <w:tmpl w:val="40DCA4E2"/>
    <w:lvl w:ilvl="0" w:tplc="DFFC8178">
      <w:start w:val="1"/>
      <w:numFmt w:val="bullet"/>
      <w:lvlText w:val="●"/>
      <w:lvlJc w:val="left"/>
      <w:pPr>
        <w:ind w:left="720" w:hanging="360"/>
      </w:pPr>
    </w:lvl>
    <w:lvl w:ilvl="1" w:tplc="44D63EE6">
      <w:start w:val="1"/>
      <w:numFmt w:val="bullet"/>
      <w:lvlText w:val="○"/>
      <w:lvlJc w:val="left"/>
      <w:pPr>
        <w:ind w:left="1440" w:hanging="360"/>
      </w:pPr>
    </w:lvl>
    <w:lvl w:ilvl="2" w:tplc="7D0E2134">
      <w:start w:val="1"/>
      <w:numFmt w:val="bullet"/>
      <w:lvlText w:val="■"/>
      <w:lvlJc w:val="left"/>
      <w:pPr>
        <w:ind w:left="2160" w:hanging="360"/>
      </w:pPr>
    </w:lvl>
    <w:lvl w:ilvl="3" w:tplc="130C1E06">
      <w:start w:val="1"/>
      <w:numFmt w:val="bullet"/>
      <w:lvlText w:val="●"/>
      <w:lvlJc w:val="left"/>
      <w:pPr>
        <w:ind w:left="2880" w:hanging="360"/>
      </w:pPr>
    </w:lvl>
    <w:lvl w:ilvl="4" w:tplc="1EE6C17E">
      <w:start w:val="1"/>
      <w:numFmt w:val="bullet"/>
      <w:lvlText w:val="○"/>
      <w:lvlJc w:val="left"/>
      <w:pPr>
        <w:ind w:left="3600" w:hanging="360"/>
      </w:pPr>
    </w:lvl>
    <w:lvl w:ilvl="5" w:tplc="A8C65A80">
      <w:start w:val="1"/>
      <w:numFmt w:val="bullet"/>
      <w:lvlText w:val="■"/>
      <w:lvlJc w:val="left"/>
      <w:pPr>
        <w:ind w:left="4320" w:hanging="360"/>
      </w:pPr>
    </w:lvl>
    <w:lvl w:ilvl="6" w:tplc="5EE294F8">
      <w:start w:val="1"/>
      <w:numFmt w:val="bullet"/>
      <w:lvlText w:val="●"/>
      <w:lvlJc w:val="left"/>
      <w:pPr>
        <w:ind w:left="5040" w:hanging="360"/>
      </w:pPr>
    </w:lvl>
    <w:lvl w:ilvl="7" w:tplc="908A7C1C">
      <w:start w:val="1"/>
      <w:numFmt w:val="bullet"/>
      <w:lvlText w:val="●"/>
      <w:lvlJc w:val="left"/>
      <w:pPr>
        <w:ind w:left="5760" w:hanging="360"/>
      </w:pPr>
    </w:lvl>
    <w:lvl w:ilvl="8" w:tplc="DF205F0A">
      <w:start w:val="1"/>
      <w:numFmt w:val="bullet"/>
      <w:lvlText w:val="●"/>
      <w:lvlJc w:val="left"/>
      <w:pPr>
        <w:ind w:left="6480" w:hanging="360"/>
      </w:pPr>
    </w:lvl>
  </w:abstractNum>
  <w:abstractNum w:abstractNumId="1" w15:restartNumberingAfterBreak="0">
    <w:nsid w:val="69E24BE5"/>
    <w:multiLevelType w:val="hybridMultilevel"/>
    <w:tmpl w:val="A90A8256"/>
    <w:lvl w:ilvl="0" w:tplc="B8320C66">
      <w:start w:val="1"/>
      <w:numFmt w:val="decimal"/>
      <w:lvlText w:val="%1."/>
      <w:lvlJc w:val="left"/>
      <w:pPr>
        <w:ind w:left="720" w:hanging="360"/>
      </w:pPr>
    </w:lvl>
    <w:lvl w:ilvl="1" w:tplc="ECF068EA">
      <w:numFmt w:val="decimal"/>
      <w:lvlText w:val=""/>
      <w:lvlJc w:val="left"/>
    </w:lvl>
    <w:lvl w:ilvl="2" w:tplc="3594FC2E">
      <w:numFmt w:val="decimal"/>
      <w:lvlText w:val=""/>
      <w:lvlJc w:val="left"/>
    </w:lvl>
    <w:lvl w:ilvl="3" w:tplc="21620998">
      <w:numFmt w:val="decimal"/>
      <w:lvlText w:val=""/>
      <w:lvlJc w:val="left"/>
    </w:lvl>
    <w:lvl w:ilvl="4" w:tplc="49D2551A">
      <w:numFmt w:val="decimal"/>
      <w:lvlText w:val=""/>
      <w:lvlJc w:val="left"/>
    </w:lvl>
    <w:lvl w:ilvl="5" w:tplc="24BEFFA2">
      <w:numFmt w:val="decimal"/>
      <w:lvlText w:val=""/>
      <w:lvlJc w:val="left"/>
    </w:lvl>
    <w:lvl w:ilvl="6" w:tplc="89E0D13C">
      <w:numFmt w:val="decimal"/>
      <w:lvlText w:val=""/>
      <w:lvlJc w:val="left"/>
    </w:lvl>
    <w:lvl w:ilvl="7" w:tplc="78E69DC2">
      <w:numFmt w:val="decimal"/>
      <w:lvlText w:val=""/>
      <w:lvlJc w:val="left"/>
    </w:lvl>
    <w:lvl w:ilvl="8" w:tplc="83085C28">
      <w:numFmt w:val="decimal"/>
      <w:lvlText w:val=""/>
      <w:lvlJc w:val="left"/>
    </w:lvl>
  </w:abstractNum>
  <w:abstractNum w:abstractNumId="2" w15:restartNumberingAfterBreak="0">
    <w:nsid w:val="7009660F"/>
    <w:multiLevelType w:val="hybridMultilevel"/>
    <w:tmpl w:val="342CFD64"/>
    <w:lvl w:ilvl="0" w:tplc="98CC50AA">
      <w:start w:val="1"/>
      <w:numFmt w:val="bullet"/>
      <w:lvlText w:val="•"/>
      <w:lvlJc w:val="left"/>
      <w:pPr>
        <w:ind w:left="720" w:hanging="360"/>
      </w:pPr>
    </w:lvl>
    <w:lvl w:ilvl="1" w:tplc="0D12BAA8">
      <w:numFmt w:val="decimal"/>
      <w:lvlText w:val=""/>
      <w:lvlJc w:val="left"/>
    </w:lvl>
    <w:lvl w:ilvl="2" w:tplc="618E0A3A">
      <w:numFmt w:val="decimal"/>
      <w:lvlText w:val=""/>
      <w:lvlJc w:val="left"/>
    </w:lvl>
    <w:lvl w:ilvl="3" w:tplc="B61612B8">
      <w:numFmt w:val="decimal"/>
      <w:lvlText w:val=""/>
      <w:lvlJc w:val="left"/>
    </w:lvl>
    <w:lvl w:ilvl="4" w:tplc="5F64DE0C">
      <w:numFmt w:val="decimal"/>
      <w:lvlText w:val=""/>
      <w:lvlJc w:val="left"/>
    </w:lvl>
    <w:lvl w:ilvl="5" w:tplc="339673B2">
      <w:numFmt w:val="decimal"/>
      <w:lvlText w:val=""/>
      <w:lvlJc w:val="left"/>
    </w:lvl>
    <w:lvl w:ilvl="6" w:tplc="FF027B3C">
      <w:numFmt w:val="decimal"/>
      <w:lvlText w:val=""/>
      <w:lvlJc w:val="left"/>
    </w:lvl>
    <w:lvl w:ilvl="7" w:tplc="07DA8EE6">
      <w:numFmt w:val="decimal"/>
      <w:lvlText w:val=""/>
      <w:lvlJc w:val="left"/>
    </w:lvl>
    <w:lvl w:ilvl="8" w:tplc="73BA00FA">
      <w:numFmt w:val="decimal"/>
      <w:lvlText w:val=""/>
      <w:lvlJc w:val="left"/>
    </w:lvl>
  </w:abstractNum>
  <w:num w:numId="1" w16cid:durableId="802843917">
    <w:abstractNumId w:val="0"/>
    <w:lvlOverride w:ilvl="0">
      <w:startOverride w:val="1"/>
    </w:lvlOverride>
  </w:num>
  <w:num w:numId="2" w16cid:durableId="183521570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20"/>
    <w:rsid w:val="002B749E"/>
    <w:rsid w:val="006D27E0"/>
    <w:rsid w:val="00804D20"/>
    <w:rsid w:val="00BA72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C730"/>
  <w15:docId w15:val="{F9B61A37-5EA5-4472-A701-6E843C27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20"/>
      <w:outlineLvl w:val="0"/>
    </w:pPr>
    <w:rPr>
      <w:b/>
      <w:bCs/>
      <w:color w:val="1B2A4A"/>
      <w:sz w:val="34"/>
      <w:szCs w:val="34"/>
    </w:rPr>
  </w:style>
  <w:style w:type="paragraph" w:styleId="Heading2">
    <w:name w:val="heading 2"/>
    <w:uiPriority w:val="9"/>
    <w:unhideWhenUsed/>
    <w:qFormat/>
    <w:pPr>
      <w:spacing w:before="360" w:after="100"/>
      <w:outlineLvl w:val="1"/>
    </w:pPr>
    <w:rPr>
      <w:b/>
      <w:bCs/>
      <w:color w:val="1B2A4A"/>
      <w:sz w:val="27"/>
      <w:szCs w:val="27"/>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5594</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PV-Invest</Company>
  <LinksUpToDate>false</LinksUpToDate>
  <CharactersWithSpaces>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2</cp:revision>
  <dcterms:created xsi:type="dcterms:W3CDTF">2026-03-28T21:20:00Z</dcterms:created>
  <dcterms:modified xsi:type="dcterms:W3CDTF">2026-03-28T21:35:00Z</dcterms:modified>
</cp:coreProperties>
</file>