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600"/>
      </w:pPr>
      <w:r>
        <w:rPr>
          <w:rFonts w:ascii="Georgia" w:cs="Georgia" w:eastAsia="Georgia" w:hAnsi="Georgia"/>
          <w:sz w:val="24"/>
          <w:szCs w:val="24"/>
        </w:rPr>
        <w:t xml:space="preserve"> </w:t>
      </w:r>
    </w:p>
    <w:p>
      <w:pPr>
        <w:spacing w:before="0" w:after="80"/>
        <w:jc w:val="center"/>
      </w:pPr>
      <w:r>
        <w:rPr>
          <w:rFonts w:ascii="Arial" w:cs="Arial" w:eastAsia="Arial" w:hAnsi="Arial"/>
          <w:b/>
          <w:bCs/>
          <w:color w:val="B8972A"/>
          <w:sz w:val="26"/>
          <w:szCs w:val="26"/>
        </w:rPr>
        <w:t xml:space="preserve">COMPARATIVE ANALYTICAL REPORT</w:t>
      </w:r>
    </w:p>
    <w:p>
      <w:pPr>
        <w:shd w:fill="1A2E4A" w:val="clear"/>
        <w:spacing w:before="0" w:after="200"/>
        <w:jc w:val="center"/>
      </w:pPr>
      <w:r>
        <w:rPr>
          <w:rFonts w:ascii="Arial" w:cs="Arial" w:eastAsia="Arial" w:hAnsi="Arial"/>
          <w:b/>
          <w:bCs/>
          <w:color w:val="FFFFFF"/>
          <w:sz w:val="52"/>
          <w:szCs w:val="52"/>
        </w:rPr>
        <w:t xml:space="preserve">THE LITERATURE OF THE CAGE</w:t>
      </w:r>
    </w:p>
    <w:p>
      <w:pPr>
        <w:spacing w:before="0" w:after="80"/>
        <w:jc w:val="center"/>
      </w:pPr>
      <w:r>
        <w:rPr>
          <w:rFonts w:ascii="Arial" w:cs="Arial" w:eastAsia="Arial" w:hAnsi="Arial"/>
          <w:b/>
          <w:bCs/>
          <w:color w:val="B8972A"/>
          <w:sz w:val="32"/>
          <w:szCs w:val="32"/>
        </w:rPr>
        <w:t xml:space="preserve">AND THE PHILOSOPHY OF THE KEY</w:t>
      </w:r>
    </w:p>
    <w:p>
      <w:pPr>
        <w:spacing w:before="0" w:after="120"/>
      </w:pPr>
      <w:r>
        <w:rPr>
          <w:rFonts w:ascii="Georgia" w:cs="Georgia" w:eastAsia="Georgia" w:hAnsi="Georgia"/>
          <w:sz w:val="24"/>
          <w:szCs w:val="24"/>
        </w:rPr>
        <w:t xml:space="preserve"> </w:t>
      </w:r>
    </w:p>
    <w:p>
      <w:pPr>
        <w:pBdr>
          <w:bottom w:val="single" w:color="B8972A" w:sz="8" w:space="1"/>
        </w:pBdr>
        <w:spacing w:before="160" w:after="160"/>
      </w:pPr>
      <w:r>
        <w:rPr>
          <w:sz w:val="4"/>
          <w:szCs w:val="4"/>
        </w:rPr>
        <w:t xml:space="preserve"> </w:t>
      </w:r>
    </w:p>
    <w:p>
      <w:pPr>
        <w:spacing w:before="0" w:after="80"/>
      </w:pPr>
      <w:r>
        <w:rPr>
          <w:rFonts w:ascii="Georgia" w:cs="Georgia" w:eastAsia="Georgia" w:hAnsi="Georgia"/>
          <w:sz w:val="24"/>
          <w:szCs w:val="24"/>
        </w:rPr>
        <w:t xml:space="preserve"> </w:t>
      </w:r>
    </w:p>
    <w:p>
      <w:pPr>
        <w:spacing w:before="0" w:after="60"/>
        <w:jc w:val="center"/>
      </w:pPr>
      <w:r>
        <w:rPr>
          <w:rFonts w:ascii="Georgia" w:cs="Georgia" w:eastAsia="Georgia" w:hAnsi="Georgia"/>
          <w:i/>
          <w:iCs/>
          <w:color w:val="444444"/>
          <w:sz w:val="26"/>
          <w:szCs w:val="26"/>
        </w:rPr>
        <w:t xml:space="preserve">The Gulag Archipelago  •  The Banality of Evil  •  1984</w:t>
      </w:r>
    </w:p>
    <w:p>
      <w:pPr>
        <w:spacing w:before="0" w:after="60"/>
        <w:jc w:val="center"/>
      </w:pPr>
      <w:r>
        <w:rPr>
          <w:rFonts w:ascii="Arial" w:cs="Arial" w:eastAsia="Arial" w:hAnsi="Arial"/>
          <w:color w:val="444444"/>
          <w:sz w:val="22"/>
          <w:szCs w:val="22"/>
        </w:rPr>
        <w:t xml:space="preserve">in dialogue with</w:t>
      </w:r>
    </w:p>
    <w:p>
      <w:pPr>
        <w:spacing w:before="0" w:after="60"/>
        <w:jc w:val="center"/>
      </w:pPr>
      <w:r>
        <w:rPr>
          <w:rFonts w:ascii="Georgia" w:cs="Georgia" w:eastAsia="Georgia" w:hAnsi="Georgia"/>
          <w:b/>
          <w:bCs/>
          <w:i/>
          <w:iCs/>
          <w:color w:val="1A2E4A"/>
          <w:sz w:val="26"/>
          <w:szCs w:val="26"/>
        </w:rPr>
        <w:t xml:space="preserve">Filosofia das Virtudes  •  Holoviceosis</w:t>
      </w:r>
    </w:p>
    <w:p>
      <w:pPr>
        <w:spacing w:before="0" w:after="80"/>
      </w:pPr>
      <w:r>
        <w:rPr>
          <w:rFonts w:ascii="Georgia" w:cs="Georgia" w:eastAsia="Georgia" w:hAnsi="Georgia"/>
          <w:sz w:val="24"/>
          <w:szCs w:val="24"/>
        </w:rPr>
        <w:t xml:space="preserve"> </w:t>
      </w:r>
    </w:p>
    <w:p>
      <w:pPr>
        <w:pBdr>
          <w:bottom w:val="single" w:color="B8972A" w:sz="8" w:space="1"/>
        </w:pBdr>
        <w:spacing w:before="160" w:after="160"/>
      </w:pPr>
      <w:r>
        <w:rPr>
          <w:sz w:val="4"/>
          <w:szCs w:val="4"/>
        </w:rPr>
        <w:t xml:space="preserve"> </w:t>
      </w:r>
    </w:p>
    <w:p>
      <w:pPr>
        <w:spacing w:before="0" w:after="120"/>
      </w:pPr>
      <w:r>
        <w:rPr>
          <w:rFonts w:ascii="Georgia" w:cs="Georgia" w:eastAsia="Georgia" w:hAnsi="Georgia"/>
          <w:sz w:val="24"/>
          <w:szCs w:val="24"/>
        </w:rPr>
        <w:t xml:space="preserve"> </w:t>
      </w:r>
    </w:p>
    <w:p>
      <w:pPr>
        <w:spacing w:before="0" w:after="60"/>
        <w:jc w:val="center"/>
      </w:pPr>
      <w:r>
        <w:rPr>
          <w:rFonts w:ascii="Arial" w:cs="Arial" w:eastAsia="Arial" w:hAnsi="Arial"/>
          <w:b/>
          <w:bCs/>
          <w:color w:val="1A2E4A"/>
          <w:sz w:val="24"/>
          <w:szCs w:val="24"/>
        </w:rPr>
        <w:t xml:space="preserve">José Caetano de Mattos Neto</w:t>
      </w:r>
    </w:p>
    <w:p>
      <w:pPr>
        <w:spacing w:before="0" w:after="60"/>
        <w:jc w:val="center"/>
      </w:pPr>
      <w:r>
        <w:rPr>
          <w:rFonts w:ascii="Georgia" w:cs="Georgia" w:eastAsia="Georgia" w:hAnsi="Georgia"/>
          <w:i/>
          <w:iCs/>
          <w:color w:val="444444"/>
          <w:sz w:val="22"/>
          <w:szCs w:val="22"/>
        </w:rPr>
        <w:t xml:space="preserve">Filosofia das Virtudes — Manifesto das Virtudes</w:t>
      </w:r>
    </w:p>
    <w:p>
      <w:pPr>
        <w:spacing w:before="0" w:after="0"/>
        <w:jc w:val="center"/>
      </w:pPr>
      <w:r>
        <w:rPr>
          <w:rFonts w:ascii="Arial" w:cs="Arial" w:eastAsia="Arial" w:hAnsi="Arial"/>
          <w:color w:val="444444"/>
          <w:sz w:val="20"/>
          <w:szCs w:val="20"/>
        </w:rPr>
        <w:t xml:space="preserve">Rio de Janeiro, 2023  •  March 2026</w:t>
      </w:r>
    </w:p>
    <w:p>
      <w:r>
        <w:br w:type="page"/>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"The line separating good and evil passes not through states, nor between classes, nor between political parties — but right through every human heart."</w:t>
      </w:r>
    </w:p>
    <w:p>
      <w:pPr>
        <w:spacing w:before="40" w:after="280"/>
        <w:ind w:right="1080"/>
        <w:jc w:val="right"/>
      </w:pPr>
      <w:r>
        <w:rPr>
          <w:rFonts w:ascii="Arial" w:cs="Arial" w:eastAsia="Arial" w:hAnsi="Arial"/>
          <w:color w:val="444444"/>
          <w:sz w:val="20"/>
          <w:szCs w:val="20"/>
        </w:rPr>
        <w:t xml:space="preserve">— Aleksandr Solzhenitsyn, The Gulag Archipelago</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"The sad truth is that most evil is done by people who never make up their minds to be good or evil."</w:t>
      </w:r>
    </w:p>
    <w:p>
      <w:pPr>
        <w:spacing w:before="40" w:after="280"/>
        <w:ind w:right="1080"/>
        <w:jc w:val="right"/>
      </w:pPr>
      <w:r>
        <w:rPr>
          <w:rFonts w:ascii="Arial" w:cs="Arial" w:eastAsia="Arial" w:hAnsi="Arial"/>
          <w:color w:val="444444"/>
          <w:sz w:val="20"/>
          <w:szCs w:val="20"/>
        </w:rPr>
        <w:t xml:space="preserve">— Hannah Arendt, The Life of the Mind</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"War is Peace. Freedom is Slavery. Ignorance is Strength."</w:t>
      </w:r>
    </w:p>
    <w:p>
      <w:pPr>
        <w:spacing w:before="40" w:after="280"/>
        <w:ind w:right="1080"/>
        <w:jc w:val="right"/>
      </w:pPr>
      <w:r>
        <w:rPr>
          <w:rFonts w:ascii="Arial" w:cs="Arial" w:eastAsia="Arial" w:hAnsi="Arial"/>
          <w:color w:val="444444"/>
          <w:sz w:val="20"/>
          <w:szCs w:val="20"/>
        </w:rPr>
        <w:t xml:space="preserve">— George Orwell, 1984</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"Sem a Liberdade, nenhuma outra virtude é possível — todas se tornam sua negação."</w:t>
      </w:r>
    </w:p>
    <w:p>
      <w:pPr>
        <w:spacing w:before="40" w:after="280"/>
        <w:ind w:right="1080"/>
        <w:jc w:val="right"/>
      </w:pPr>
      <w:r>
        <w:rPr>
          <w:rFonts w:ascii="Arial" w:cs="Arial" w:eastAsia="Arial" w:hAnsi="Arial"/>
          <w:color w:val="444444"/>
          <w:sz w:val="20"/>
          <w:szCs w:val="20"/>
        </w:rPr>
        <w:t xml:space="preserve">— José Caetano de Mattos Neto, Filosofia das Virtudes</w:t>
      </w:r>
    </w:p>
    <w:p>
      <w:pPr>
        <w:spacing w:before="0" w:after="80"/>
      </w:pPr>
      <w:r>
        <w:rPr>
          <w:rFonts w:ascii="Georgia" w:cs="Georgia" w:eastAsia="Georgia" w:hAnsi="Georgia"/>
          <w:sz w:val="24"/>
          <w:szCs w:val="24"/>
        </w:rPr>
        <w:t xml:space="preserve"> </w:t>
      </w:r>
    </w:p>
    <w:p>
      <w:pPr>
        <w:pBdr>
          <w:bottom w:val="single" w:color="1A2E4A" w:sz="8" w:space="1"/>
        </w:pBdr>
        <w:spacing w:before="160" w:after="160"/>
      </w:pPr>
      <w:r>
        <w:rPr>
          <w:sz w:val="4"/>
          <w:szCs w:val="4"/>
        </w:rPr>
        <w:t xml:space="preserve"> </w:t>
      </w:r>
    </w:p>
    <w:p>
      <w:pPr>
        <w:spacing w:before="0" w:after="80"/>
      </w:pPr>
      <w:r>
        <w:rPr>
          <w:rFonts w:ascii="Georgia" w:cs="Georgia" w:eastAsia="Georgia" w:hAnsi="Georgia"/>
          <w:sz w:val="24"/>
          <w:szCs w:val="24"/>
        </w:rPr>
        <w:t xml:space="preserve"> </w:t>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EXECUTIVE SUMMARY</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report conducts a systematic comparative analysis of three landmark works of 20th-century political and moral literature — Aleksandr Solzhenitsyn’s The Gulag Archipelago (1973), Hannah Arendt’s Eichmann in Jerusalem: A Report on the Banality of Evil (1963), and George Orwell’s 1984 (1949) — and places them in direct dialogue with the philosophical corpus of José Caetano de Mattos Neto, specifically the Filosofia das Virtudes (2023) and its original concept of Holoviceosis.</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central finding of this analysis is both simple and consequential: the three canonical works constitute the most rigorous and courageous diagnostic literature ever produced on the destruction of human freedom. They describe, with extraordinary precision, what happens when freedom is systematically annihilated — through terror, bureaucratic thoughtlessness, and the technological control of language and inner life. Together they form what this report calls the Literature of the Cage.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What none of them provides — and what the Philosophy of Virtues attempts to supply — is the positive content of what was destroyed: a systematic, philosophically grounded account of what freedom is, what the virtues are that depend on it, and what daily practices constitute its reconstruction. The Philosophy of Virtues is, in this reading, not a competitor to these three books but their necessary complement: the Literature of the Key.</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concept of Holoviceosis specifically advances beyond Solzhenitsyn’s testimony, Arendt’s phenomenology of evil, and Orwell’s prophetic fiction in a single crucial dimension: it names the mechanism of the destruction not merely as terror, thoughtlessness, or linguistic control, but as the systematic, deliberate, politically functional inversion of virtue itself — a process whose outcome is a civilization that can no longer recognize its own captivity, because the words needed to name captivity have been redefined as the vocabulary of freedom.</w:t>
      </w:r>
    </w:p>
    <w:p>
      <w:pPr>
        <w:spacing w:before="0" w:after="200"/>
      </w:pPr>
      <w:r>
        <w:rPr>
          <w:rFonts w:ascii="Georgia" w:cs="Georgia" w:eastAsia="Georgia" w:hAnsi="Georgia"/>
          <w:sz w:val="24"/>
          <w:szCs w:val="24"/>
        </w:rPr>
        <w:t xml:space="preserve"> </w:t>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I — THE THREE WORKS: WHAT EACH SAW</w:t>
      </w:r>
    </w:p>
    <w:p>
      <w:pPr>
        <w:spacing w:before="0" w:after="8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1.1  The Gulag Archipelago — Solzhenitsyn (1973)</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Gulag Archipelago is not a political treatise in any conventional sense. It is an act of witness — the most sustained, documented, and morally serious act of bearing witness produced in the 20th century. Compiled from Solzhenitsyn’s own years in the Soviet labour camp system and the accounts of 227 other survivors, smuggled out of the Soviet Union and published in the West, it documents with forensic and moral precision how an entire civilization was swallowed by a system of ideologically justified terror.</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work makes three contributions of permanent significance to moral and political philosophy.</w:t>
      </w:r>
    </w:p>
    <w:p>
      <w:pPr>
        <w:spacing w:before="0" w:after="60"/>
      </w:pPr>
      <w:r>
        <w:rPr>
          <w:rFonts w:ascii="Georgia" w:cs="Georgia" w:eastAsia="Georgia" w:hAnsi="Georgia"/>
          <w:sz w:val="24"/>
          <w:szCs w:val="24"/>
        </w:rPr>
        <w:t xml:space="preserve"> </w:t>
      </w:r>
    </w:p>
    <w:p>
      <w:pPr>
        <w:spacing w:before="80" w:after="120" w:line="320"/>
        <w:ind w:left="720"/>
        <w:jc w:val="both"/>
      </w:pPr>
      <w:r>
        <w:rPr>
          <w:rFonts w:ascii="Georgia" w:cs="Georgia" w:eastAsia="Georgia" w:hAnsi="Georgia"/>
          <w:b w:val="false"/>
          <w:bCs w:val="false"/>
          <w:i w:val="false"/>
          <w:iCs w:val="false"/>
          <w:color w:val="1A1A1A"/>
          <w:sz w:val="24"/>
          <w:szCs w:val="24"/>
        </w:rPr>
        <w:t xml:space="preserve">First, it provides an unmatched account of ideological possession — the process by which educated, morally serious, often genuinely idealistic people came to believe that the extermination of their neighbors was historically necessary and morally virtuous. Solzhenitsyn is merciless on this point. The executioners were not monsters by nature. They were people who had accepted a framework of values in which the liquidation of class enemies was a service to humanity. The mechanism is precisely what the Philosophy of Virtues later names Reverse Ethics: the systematic reclassification of a vice — murder, denunciation, betrayal — as the highest form of virtue.</w:t>
      </w:r>
    </w:p>
    <w:p>
      <w:pPr>
        <w:spacing w:before="0" w:after="60"/>
      </w:pPr>
      <w:r>
        <w:rPr>
          <w:rFonts w:ascii="Georgia" w:cs="Georgia" w:eastAsia="Georgia" w:hAnsi="Georgia"/>
          <w:sz w:val="24"/>
          <w:szCs w:val="24"/>
        </w:rPr>
        <w:t xml:space="preserve"> </w:t>
      </w:r>
    </w:p>
    <w:p>
      <w:pPr>
        <w:spacing w:before="80" w:after="120" w:line="320"/>
        <w:ind w:left="720"/>
        <w:jc w:val="both"/>
      </w:pPr>
      <w:r>
        <w:rPr>
          <w:rFonts w:ascii="Georgia" w:cs="Georgia" w:eastAsia="Georgia" w:hAnsi="Georgia"/>
          <w:b w:val="false"/>
          <w:bCs w:val="false"/>
          <w:i w:val="false"/>
          <w:iCs w:val="false"/>
          <w:color w:val="1A1A1A"/>
          <w:sz w:val="24"/>
          <w:szCs w:val="24"/>
        </w:rPr>
        <w:t xml:space="preserve">Second, Solzhenitsyn documents the indestructibility of the inner life under extreme conditions. Those who survived spiritually — who did not break, who did not betray their deepest commitments — were, almost without exception, those who had something inviolable inside them: a faith, a private fidelity to something real, a name for what was good that no camp authority could confiscate. This is, in the language of the Philosophy of Virtues, the experience of Freedom as the ontological substrate of the person — the one thing that cannot be entirely colonized, even in the Gulag.</w:t>
      </w:r>
    </w:p>
    <w:p>
      <w:pPr>
        <w:spacing w:before="0" w:after="60"/>
      </w:pPr>
      <w:r>
        <w:rPr>
          <w:rFonts w:ascii="Georgia" w:cs="Georgia" w:eastAsia="Georgia" w:hAnsi="Georgia"/>
          <w:sz w:val="24"/>
          <w:szCs w:val="24"/>
        </w:rPr>
        <w:t xml:space="preserve"> </w:t>
      </w:r>
    </w:p>
    <w:p>
      <w:pPr>
        <w:spacing w:before="80" w:after="120" w:line="320"/>
        <w:ind w:left="720"/>
        <w:jc w:val="both"/>
      </w:pPr>
      <w:r>
        <w:rPr>
          <w:rFonts w:ascii="Georgia" w:cs="Georgia" w:eastAsia="Georgia" w:hAnsi="Georgia"/>
          <w:b w:val="false"/>
          <w:bCs w:val="false"/>
          <w:i w:val="false"/>
          <w:iCs w:val="false"/>
          <w:color w:val="1A1A1A"/>
          <w:sz w:val="24"/>
          <w:szCs w:val="24"/>
        </w:rPr>
        <w:t xml:space="preserve">Third — and most enduringly — Solzhenitsyn gives us the line that has become one of the most quoted sentences in modern moral philosophy: the line between good and evil does not pass between persons, between classes, between political parties, but through every human heart. This claim, so counterintuitive to ideological thought of any stripe, is the axiom from which the Philosophy of Virtues builds its entire psychology: the virtues are universal because every human being carries both the capacity for them and the capacity for their inversion.</w:t>
      </w:r>
    </w:p>
    <w:p>
      <w:pPr>
        <w:spacing w:before="0" w:after="120"/>
      </w:pPr>
      <w:r>
        <w:rPr>
          <w:rFonts w:ascii="Georgia" w:cs="Georgia" w:eastAsia="Georgia" w:hAnsi="Georgia"/>
          <w:sz w:val="24"/>
          <w:szCs w:val="24"/>
        </w:rPr>
        <w:t xml:space="preserve"> </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"Gradually it was disclosed to me that the line separating good and evil passes not through states, nor between classes, nor between political parties — but right through every human heart."</w:t>
      </w:r>
    </w:p>
    <w:p>
      <w:pPr>
        <w:spacing w:before="40" w:after="280"/>
        <w:ind w:right="1080"/>
        <w:jc w:val="right"/>
      </w:pPr>
      <w:r>
        <w:rPr>
          <w:rFonts w:ascii="Arial" w:cs="Arial" w:eastAsia="Arial" w:hAnsi="Arial"/>
          <w:color w:val="444444"/>
          <w:sz w:val="20"/>
          <w:szCs w:val="20"/>
        </w:rPr>
        <w:t xml:space="preserve">— Solzhenitsyn, The Gulag Archipelago, Part IV</w:t>
      </w:r>
    </w:p>
    <w:p>
      <w:pPr>
        <w:spacing w:before="0" w:after="12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1.2  Eichmann in Jerusalem: A Report on the Banality of Evil — Arendt (1963)</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Hannah Arendt’s report on the Jerusalem trial of Adolf Eichmann is philosophically the most disturbing of the three works, because it removes the comfort of monstrousness. Eichmann — the bureaucratic architect of the Holocaust’s logistics, the man who organized the trains — was not a sadist, not a fanatic consumed by hatred, not even a committed antisemite by the usual definition. He was, in Arendt’s devastating formulation, terrifyingly normal. He was a functionary who processed paperwork, followed orders, and occasionally expressed professional pride in his organizational competence.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concept she extracted from this observation — the “banality of evil” — is among the most consequential contributions to 20th-century moral philosophy. Its core claim is that the greatest crimes in history are not necessarily committed by monsters. They are committed by people who have simply stopped thinking — who have outsourced the moral question of whether what they are doing is right to the system, to the chain of command, to the ideology, to the career incentive. Eichmann did not ask himself whether he was doing something wrong. The absence of that question — the thoughtlessness, not the malice — made the Holocaust possible at the scale of its execution.</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Arendt’s broader theoretical work, particularly The Origins of Totalitarianism, extends this insight to the systemic level. Totalitarian systems, she argued, do not merely constrain action from the outside. They attack the capacity for independent thought from within, through ideology, terror, and the atomization of individuals into isolated, mutually suspicious units. The most profound form of unfreedom is not the chain on the wrist but the destruction of the mind that would recognize it was chained.</w:t>
      </w:r>
    </w:p>
    <w:p>
      <w:pPr>
        <w:spacing w:before="0" w:after="120"/>
      </w:pPr>
      <w:r>
        <w:rPr>
          <w:rFonts w:ascii="Georgia" w:cs="Georgia" w:eastAsia="Georgia" w:hAnsi="Georgia"/>
          <w:sz w:val="24"/>
          <w:szCs w:val="24"/>
        </w:rPr>
        <w:t xml:space="preserve"> </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"The sad truth is that most evil is done by people who never make up their minds to be good or evil."</w:t>
      </w:r>
    </w:p>
    <w:p>
      <w:pPr>
        <w:spacing w:before="40" w:after="280"/>
        <w:ind w:right="1080"/>
        <w:jc w:val="right"/>
      </w:pPr>
      <w:r>
        <w:rPr>
          <w:rFonts w:ascii="Arial" w:cs="Arial" w:eastAsia="Arial" w:hAnsi="Arial"/>
          <w:color w:val="444444"/>
          <w:sz w:val="20"/>
          <w:szCs w:val="20"/>
        </w:rPr>
        <w:t xml:space="preserve">— Hannah Arendt, The Life of the Mind</w:t>
      </w:r>
    </w:p>
    <w:p>
      <w:pPr>
        <w:spacing w:before="0" w:after="12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1.3  Nineteen Eighty-Four — Orwell (1949)</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Orwell’s dystopia, written in 1948 with Stalin’s Soviet Union as its primary target but with a disturbing secondary gaze toward tendencies Orwell observed in Western intellectual culture, operates on three simultaneous levels. As political satire it depicts a surveillance state of total control. As linguistic philosophy it demonstrates with lethal precision how the destruction of language precedes and enables the destruction of thought. And as a study of the inner life under maximum pressure, it is the most psychologically penetrating of the three works.</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concept of Newspeak is Orwell’s greatest philosophical contribution. It is not merely censorship — the removal of dangerous ideas. It is the systematic elimination of the words needed to think forbidden thoughts. The logic is precise: without the word “freedom,” the concept cannot be thought. Without the concept, the desire cannot form. Without the desire, the absence is not felt. The Party does not need to suppress the longing for freedom by force; it simply removes the vocabulary through which that longing would become conscious.</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is Reverse Ethics operationalized as grammar. The Party slogan “War is Peace, Freedom is Slavery, Ignorance is Strength” is not propaganda designed to convince. It is the terminal output of a language system designed to make the distinction between the slogan and its opposite unthinkable — not persuaded away but literally unable to be formed. The Philosophy of Virtues names this mechanism Ética Reversa: the planned inversion of moral values so that vices are presented as virtues and the cognitive tools needed to recognize the inversion have been dismantled.</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novel’s final horror — Winston Smith’s complete psychological surrender, his genuine love of Big Brother — poses a direct challenge to the Philosophy of Virtues. Is it possible for the inversion to be so complete that the virtues are not merely suppressed but permanently erased? Orwell says yes. Mattos Neto says no, because the virtues are ontologically indestructible — they are the DNA of God, written into human nature at a level no political system can ultimately reach. This is not naivety. It is a metaphysical commitment with practical consequences, as this report will examine.</w:t>
      </w:r>
    </w:p>
    <w:p>
      <w:pPr>
        <w:spacing w:before="0" w:after="120"/>
      </w:pPr>
      <w:r>
        <w:rPr>
          <w:rFonts w:ascii="Georgia" w:cs="Georgia" w:eastAsia="Georgia" w:hAnsi="Georgia"/>
          <w:sz w:val="24"/>
          <w:szCs w:val="24"/>
        </w:rPr>
        <w:t xml:space="preserve"> </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"If you want a picture of the future, imagine a boot stamping on a human face — forever."</w:t>
      </w:r>
    </w:p>
    <w:p>
      <w:pPr>
        <w:spacing w:before="40" w:after="280"/>
        <w:ind w:right="1080"/>
        <w:jc w:val="right"/>
      </w:pPr>
      <w:r>
        <w:rPr>
          <w:rFonts w:ascii="Arial" w:cs="Arial" w:eastAsia="Arial" w:hAnsi="Arial"/>
          <w:color w:val="444444"/>
          <w:sz w:val="20"/>
          <w:szCs w:val="20"/>
        </w:rPr>
        <w:t xml:space="preserve">— George Orwell, 1984</w:t>
      </w:r>
    </w:p>
    <w:p>
      <w:pPr>
        <w:spacing w:before="0" w:after="8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II — THE SHARED ARCHITECTURE: WHAT ALL THREE DIAGNOSE</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Before examining the specific dialogue with Holoviceosis, it is essential to identify the convergent diagnosis that emerges from all three works — because their agreement, across radically different registers (testimony, philosophical reportage, fictional dystopia), constitutes a finding of very high credibility.</w:t>
      </w:r>
    </w:p>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WEAPON #1</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All three identify the fundamental weapon of totalitarianism not as physical violence — which is crude and ultimately limited in scale — but as the corruption of the inner life: the destruction of the consciousness, the moral language, and the framework of meaning through which a person knows they are free, knows what is right, and knows who they are. Terror, bureaucracy, and Newspeak are three different delivery mechanisms for the same payload: the colonization and eventual erasure of the self.</w:t>
            </w:r>
          </w:p>
        </w:tc>
      </w:tr>
    </w:tbl>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WEAPON #2</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All three identify the same human product of this process: the person who not only submits to unfreedom but actively enforces it on others. Solzhenitsyn’s camp informer. Arendt’s thoughtless bureaucrat. Orwell’s Parsons — the devoted Party member who is turned in by his own daughter and considers it a virtue. These are recognizably the same person across all three books, observed from different angles. The Philosophy of Virtues gives this person a precise name and a causal account: the Freedophobic Man, the human product of Holoviceosis.</w:t>
            </w:r>
          </w:p>
        </w:tc>
      </w:tr>
    </w:tbl>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THE GAP</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All three are diagnoses without prescriptions. This is not a failure. Solzhenitsyn, Arendt, and Orwell wrote in the immediate presence of horrors that demanded witness before cure. But the gap they collectively leave is enormous and consequential. They describe what was done to freedom with incomparable force. They do not systematically describe what freedom is — not in positive, constructive, philosophically rigorous terms. They describe the cage. None of them provides what the Philosophy of Virtues attempts: the key.</w:t>
            </w:r>
          </w:p>
        </w:tc>
      </w:tr>
    </w:tbl>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III — HOLOVICEOSIS IN DIALOGUE WITH EACH WORK</w:t>
      </w:r>
    </w:p>
    <w:p>
      <w:pPr>
        <w:spacing w:before="0" w:after="8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3.1  Solzhenitsyn and Holoviceosis: The Evidence and the Name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Gulag Archipelago provides the most comprehensive empirical archive for what Holoviceosis names. In a fundamental sense, the Soviet system documented by Solzhenitsyn did exactly what the concept describes at its full civilizational scale. It systematically replaced virtue with its inversion across every dimension of social life. Courage was redefined as counter-revolutionary activity. Honesty was redefined as sabotage. Family loyalty was redefined as bourgeois anti-social sentiment. The love of beauty was classified as decadent formalism. The new official virtues — ideological conformity, productive output measured in Party terms, denunciation of the deviant — were vices dressed in virtue’s clothing.</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Freedophobic Man is omnipresent in Solzhenitsyn’s pages. The camp collaborators, the intellectual signatories of denunciations, the ordinary citizens who reported their neighbors’ private conversations — these are not monsters but people in whom the system had successfully inverted the moral hierarchy. Solzhenitsyn’s insight that the line between good and evil passes through every heart is the anthropological foundation on which the concept of the Freedophobic Man rests: the capacity for inversion is universal, not pathological. Any person can become the Freedophobic Man if the right tools are applied for long enough.</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Where Holoviceosis advances decisively beyond Solzhenitsyn is in the provision of an analytical mechanism. Solzhenitsyn documents the ruins with incomparable fidelity and moral force. The concept of Holoviceosis names the process that built them: a three-stage cascade of Reverse Ethics (the micro-level inversion of language and individual values), Devirtualization (the meso-level sustained cultural programme that normalizes the inversion at societal scale), and Holoviceosis itself (the macro-level civilizational outcome, the condition of death and subjugation that results when the programme has run its course). Solzhenitsyn shows us what happened. Holoviceosis provides the mechanism that made it possible — and that can make it possible again, in societies that have not built a single camp.</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last point is the most important difference in scope. Solzhenitsyn’s Gulag is a visible, named, historically bounded horror. It happened there, to those people, under that system, in those years, and it is recognizable as horror even to those who lived inside it — the prisoners knew they were prisoners. Holoviceosis claims to describe a process that operates in formally democratic and free societies, without camps, without visible perpetrators, through the ordinary daily machinery of media, education, cultural production, and institutional incentive structures. The most dangerous version of the process is the one that is invisible because it looks like freedom.</w:t>
      </w:r>
    </w:p>
    <w:p>
      <w:pPr>
        <w:spacing w:before="0" w:after="12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3.2  Arendt and Holoviceosis: The Most Productive Philosophical Disagreement</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dialogue between Arendt’s analysis and the concept of Holoviceosis is the most philosophically productive of the three comparisons, because it reveals a genuine and important disagreement about the nature of the evil being described — a disagreement whose resolution has direct practical consequences.</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Arendt’s Eichmann is morally vacant. His evil is the evil of absent thought — the suspension of the specifically human capacity to ask whether what one is doing is right. He was not convinced that deportation and murder were good; he did not engage the moral question at all. He processed, organized, optimized. The banality of evil is precisely the banality of the person for whom the question “is this right?” has never been activated. The cure, implied by Arendt’s entire philosophical work, is thinking — the reactivation of the judgment that distinguishes the human from the cog.</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Freedophobic Man of Holoviceosis is a qualitatively different figure. He is not morally vacant. He is morally inverted. He has asked the moral question. He has answered it — wrongly. He has been convinced, through the sustained operation of Reverse Ethics on his value framework, that what he is doing is not merely acceptable but noble and necessary. He denounces his neighbor not through thoughtlessness but through moral conviction. He demands the restriction of others’ freedom not despite believing in virtue but because he has been made to believe that this is what virtue requires. He is, in the deepest sense, a full moral agent — one whose moral framework has been systematically hijacked.</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distinction is not merely academic. It has direct consequences for the question of what the antidote is. Arendt’s diagnosis implies that reactivating thought is sufficient: if people would only stop and think, they would recognize the wrong and refuse to participate. This is true and important for her Eichmann, who never thought at all. But it is insufficient for the Freedophobic Man, who is thinking very hard and arriving at the wrong conclusions under a framework that has been deliberately corrupted. The person who sincerely believes that censorship protects democracy, that compliance with authority is civic virtue, or that the suppression of dissent defends community is not failing to think — he is thinking within an inverted framework. Restoring his moral agency requires not the reactivation of thought alone but the restoration of the moral language — the virtues in their genuine content — against which inversions can be measured and identified.</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is the specific intellectual gap that Holoviceosis fills in relation to Arendt: it provides the positive ontological content — the 101 Universal Human Virtues, rooted in Freedom as their elementary substrate — that Arendt’s framework, for all its philosophical power, leaves unspecified. Thinking is the method. The virtues are what you think about. Without them, thought alone cannot navigate the inversion.</w:t>
      </w:r>
    </w:p>
    <w:p>
      <w:pPr>
        <w:spacing w:before="0" w:after="120"/>
      </w:pPr>
      <w:r>
        <w:rPr>
          <w:rFonts w:ascii="Georgia" w:cs="Georgia" w:eastAsia="Georgia" w:hAnsi="Georgia"/>
          <w:sz w:val="24"/>
          <w:szCs w:val="24"/>
        </w:rPr>
        <w:t xml:space="preserve"> </w:t>
      </w:r>
    </w:p>
    <w:p>
      <w:pPr>
        <w:shd w:fill="2E5990" w:val="clear"/>
        <w:spacing w:before="320" w:after="200"/>
        <w:jc w:val="center"/>
      </w:pPr>
      <w:r>
        <w:rPr>
          <w:rFonts w:ascii="Arial" w:cs="Arial" w:eastAsia="Arial" w:hAnsi="Arial"/>
          <w:b/>
          <w:bCs/>
          <w:color w:val="FFFFFF"/>
          <w:sz w:val="26"/>
          <w:szCs w:val="26"/>
        </w:rPr>
        <w:t xml:space="preserve">3.3  Orwell and Holoviceosis: The Prophecy and the Mechanism</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1984 is the most direct fictional anticipation of what Holoviceosis names conceptually, and the parallels are precise enough to warrant systematic examination. Orwell understood, with the prophetic clarity of the great literary imagination, the specific mechanisms of the process that Mattos Neto later analyses philosophically.</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Newspeak and Reverse Ethics are the same operation at different scales and in different registers. Orwell understood that you can make freedom unthinkable not by refuting arguments for it but by removing the vocabulary through which those arguments could be formed. Reverse Ethics operates by the same mechanism in real, formally free societies: you do not remove the word “freedom” — you redefine it until it designates its own opposite. Freedom becomes the right to be protected from dangerous ideas. Liberty becomes the liberty to conform. Safety becomes the word for the condition of having no choice. The Party slogan “Freedom is Slavery” is not merely a fictional invention; it is a description of the terminal output of the Reverse Ethics programme applied to the concept of freedom itself.</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Doublethink and the Contradictory Coexistence thesis of Holoviceosis are structural twins operating at different levels of analysis. Orwell’s doublethink — the individually practiced capacity to hold two contradictory beliefs simultaneously and accept both without experiencing the contradiction — is the psychological mechanism at the individual level of what Holoviceosis describes as a deliberate systemic feature. The system promotes charity and stimulates poverty. It promotes safety and manufactures fear. It promotes freedom and produces the Freedophobic Man. These are not hypocrisies or failures. They are the operational requirements of a system that needs both vice and virtue simultaneously to sustain itself. Orwell saw the individual mind that had learned to live inside this structure. Holoviceosis names the structure itself and explains why it is stable.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most fundamental disagreement between Orwell and the Philosophy of Virtues concerns the question of whether the inversion can be made total and permanent. In Orwell’s dystopia, the answer is yes: Winston Smith is broken in Room 101 and genuinely comes to love Big Brother. Not out of fear — out of love. The self has been erased. The novel ends with no surviving flicker of the person who once wrote “freedom is the freedom to say that two plus two make four.” He has become the Freedophobic Man in its terminal form, the form that has forgotten there was ever anything to be phobic about.</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Philosophy of Virtues refuses this conclusion at the level of ontology. The virtues are the DNA of God, written into human nature at a depth that no political system ultimately reaches, because they are not cultural artifacts that can be culturally erased but ontological realities that can only be temporarily buried. Even the most thoroughly Holoviceosis-damaged person carries, beneath the inversion, the structure of what they were built to be. This is not optimism. It is a theological and metaphysical commitment: God is Freedom, and Freedom cannot be permanently abolished from what God made free.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practical consequence is significant. Orwell’s world is a closed system from which there is no exit because the Party has successfully occupied the deepest level of the human person. The Philosophy of Virtues insists there is always a point of contact, always a residual capacity for recognition, always the possibility of restoration — because freedom is not a political condition that can be permanently revoked but an ontological given that can only be temporarily denied. The key always exists, even when the cage appears complete.</w:t>
      </w:r>
    </w:p>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IV — THE CRUCIAL ADVANCE: WHAT HOLOVICEOSIS ADDS</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Having established both the convergences and the specific dialogues, it is now possible to state precisely what the concept of Holoviceosis contributes that is not available in any of the three canonical works individually or collectively.</w:t>
      </w:r>
    </w:p>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ADVANCE 1</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 MECHANISM, NOT JUST A DESCRIPTION. All three books describe the destruction of freedom with extraordinary power. None provides a formal, three-stage operational model of how the destruction proceeds. Holoviceosis names the cascade: Reverse Ethics (micro-level language and value inversion in individual minds and culture) leads to Devirtualization (the meso-level sustained strategic program of stripping virtue from institutions) which produces Holoviceosis (the macro-level civilizational condition of death and subjugation through contradictory coexistence). This mechanistic specificity is what enables diagnosis before the terminal stage is reached.</w:t>
            </w:r>
          </w:p>
        </w:tc>
      </w:tr>
    </w:tbl>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ADVANCE 2</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APPLICABILITY IN THE ABSENCE OF VISIBLE TYRANNY. Solzhenitsyn’s Gulag and Arendt’s Holocaust are recognizable as horrors even by those who lived inside them. Orwell’s Airstrip One is unmistakable. Holoviceosis is designed to be detectable in societies that look normal — that have elections, free speech laws, and constitutional rights — but in which the moral vocabulary has been corrupted below the threshold of political visibility. The diagnostic value of the concept lies precisely in its applicability to the conditions under which we currently live.</w:t>
            </w:r>
          </w:p>
        </w:tc>
      </w:tr>
    </w:tbl>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ADVANCE 3</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THE CONTRADICTORY COEXISTENCE THESIS. None of the three canonical works captures the specific structural insight that the system requires both virtue and vice simultaneously and exploits them both as instruments of the same power mechanism. The system that promotes charity needs poverty. The system that promotes safety needs fear. The system that proclaims freedom needs the Freedophobic Man. Contradictions are not flaws to be corrected but structural features to be maintained. This dialectic of systemic self-perpetuation through moral inversion is Holoviceosis’ most original philosophical contribution.</w:t>
            </w:r>
          </w:p>
        </w:tc>
      </w:tr>
    </w:tbl>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A2E4A" w:sz="6" w:space="0"/>
              <w:left w:val="single" w:color="1A2E4A" w:sz="6" w:space="0"/>
              <w:bottom w:val="single" w:color="1A2E4A" w:sz="6" w:space="0"/>
              <w:right w:val="single" w:color="1A2E4A" w:sz="6" w:space="0"/>
            </w:tcBorders>
            <w:shd w:fill="1A2E4A" w:val="clear"/>
            <w:tcMar>
              <w:top w:type="dxa" w:w="120"/>
              <w:left w:type="dxa" w:w="160"/>
              <w:bottom w:type="dxa" w:w="120"/>
              <w:right w:type="dxa" w:w="160"/>
            </w:tcMar>
            <w:vAlign w:val="center"/>
          </w:tcPr>
          <w:p>
            <w:pPr>
              <w:jc w:val="center"/>
            </w:pPr>
            <w:r>
              <w:rPr>
                <w:rFonts w:ascii="Arial" w:cs="Arial" w:eastAsia="Arial" w:hAnsi="Arial"/>
                <w:b/>
                <w:bCs/>
                <w:color w:val="FFFFFF"/>
                <w:sz w:val="20"/>
                <w:szCs w:val="20"/>
              </w:rPr>
              <w:t xml:space="preserve">ADVANCE 4</w:t>
            </w:r>
          </w:p>
        </w:tc>
        <w:tc>
          <w:tcPr>
            <w:tcW w:type="dxa" w:w="7560"/>
            <w:tcBorders>
              <w:top w:val="single" w:color="D0D5DC" w:sz="4" w:space="0"/>
              <w:left w:val="single" w:color="D0D5DC" w:sz="4" w:space="0"/>
              <w:bottom w:val="single" w:color="D0D5DC" w:sz="4" w:space="0"/>
              <w:right w:val="single" w:color="D0D5DC" w:sz="4" w:space="0"/>
            </w:tcBorders>
            <w:shd w:fill="F0F2F5" w:val="clear"/>
            <w:tcMar>
              <w:top w:type="dxa" w:w="120"/>
              <w:left w:type="dxa" w:w="160"/>
              <w:bottom w:type="dxa" w:w="120"/>
              <w:right w:type="dxa" w:w="160"/>
            </w:tcMar>
          </w:tcPr>
          <w:p>
            <w:pPr>
              <w:jc w:val="both"/>
            </w:pPr>
            <w:r>
              <w:rPr>
                <w:rFonts w:ascii="Georgia" w:cs="Georgia" w:eastAsia="Georgia" w:hAnsi="Georgia"/>
                <w:color w:val="1A1A1A"/>
                <w:sz w:val="22"/>
                <w:szCs w:val="22"/>
              </w:rPr>
              <w:t xml:space="preserve">A POSITIVE CONTENT. The three canonical works diagnose the disease. The Philosophy of Virtues attempts to supply the cure. The 101 Universal Human Virtues, organized in a five-tier hierarchy with Freedom as the elemental substrate, provide the positive content — the specific behavioral and moral architecture — that constitutes the antidote to Holoviceosis at the individual level. This is not rhetorical: the Inversion Theorem (without Freedom, every virtue becomes its own opposite) means that the restoration of Freedom is the specific, systematic lever through which all other virtues can be recovered.</w:t>
            </w:r>
          </w:p>
        </w:tc>
      </w:tr>
    </w:tbl>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V — MASTER COMPARATIVE TABLE</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bCs/>
          <w:i w:val="false"/>
          <w:iCs w:val="false"/>
          <w:color w:val="1A1A1A"/>
          <w:sz w:val="24"/>
          <w:szCs w:val="24"/>
        </w:rPr>
        <w:t xml:space="preserve">The following table synthesizes the key analytical dimensions across all four works.</w:t>
      </w:r>
    </w:p>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40"/>
        <w:gridCol w:w="1840"/>
        <w:gridCol w:w="1840"/>
        <w:gridCol w:w="1840"/>
      </w:tblGrid>
      <w:tr>
        <w:trPr>
          <w:tblHeader/>
        </w:trPr>
        <w:tc>
          <w:tcPr>
            <w:tcW w:type="dxa" w:w="200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Dimension</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Gulag Archipelago</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Banality of Evil</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1984</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FdV / Holoviceosis</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Primary register</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Historical testimony</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Philosophical reportage</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Literary dystopia</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Philosophical manifesto</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Type of evil described</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Terror-based physical extermination</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Thoughtless bureaucratic complicity</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Total linguistic-psychological control</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Invisible moral inversion in free societies</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The perpetrator</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ideologically possessed true believer</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thoughtless functionary</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omnipresent, faceless Party</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system itself — no named perpetrator required</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The human product of evil</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broken prisoner and the collaborator</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morally vacant bureaucrat</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thought-criminal turned Big Brother lover</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Freedophobic Man — morally inverted, sincerely virtuous in vice</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What is destroyed</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body, community, and inner life</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capacity for independent moral judgment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Private selfhood, memory, and language</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moral vocabulary through which captivity is recognized</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Mechanism of destruction</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Ideology + terror + informer system</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Thoughtlessness / abdication of judgment</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Newspeak + doublethink + surveillance</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Reverse Ethics → Devirtualization → Holoviceosis</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Prescription offered</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Spiritual regeneration (implicit)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Thinking — the reactivation of judgment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None — the novel ends in total defeat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101 Virtues, anchored in Freedom</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Can freedom recover?</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Yes — at enormous suffering cost</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Uncertain — depends on collective waking</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No — the system is portrayed as total</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Yes — virtues are ontologically indestructible</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Historical target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Soviet totalitarianism 1917–53</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Nazi Germany / bureaucratic modernity</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Stalinist USSR and Western intellectual drift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Democratic societies, digital age, 21st century</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Applicability today</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Historical — requires analogical extension</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Partial — bureaucratic systems everywhere</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Increasingly direct — prophetic accuracy rising</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Designed for the present moment</w:t>
            </w:r>
          </w:p>
        </w:tc>
      </w:tr>
    </w:tbl>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VI — THE FREEDOPHOBIC MAN ACROSS ALL FOUR WORKS</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One of the most significant insights emerging from this comparative analysis is the recurring presence, across all four works, of the same psycho-political type: the person who not only accepts unfreedom but actively enforces it on others, in the sincere conviction that doing so is virtuous. Identifying this figure across all four works clarifies both what he is and what produces him.</w:t>
      </w:r>
    </w:p>
    <w:p>
      <w:pPr>
        <w:spacing w:before="0" w:after="80"/>
      </w:pPr>
      <w:r>
        <w:rPr>
          <w:rFonts w:ascii="Georgia" w:cs="Georgia" w:eastAsia="Georgia" w:hAnsi="Georgia"/>
          <w:sz w:val="24"/>
          <w:szCs w:val="24"/>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40"/>
        <w:gridCol w:w="1840"/>
        <w:gridCol w:w="1840"/>
        <w:gridCol w:w="1840"/>
      </w:tblGrid>
      <w:tr>
        <w:trPr>
          <w:tblHeader/>
        </w:trPr>
        <w:tc>
          <w:tcPr>
            <w:tcW w:type="dxa" w:w="200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Work</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The Figure</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Mechanism of Production</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Degree of Moral Agency</w:t>
            </w:r>
          </w:p>
        </w:tc>
        <w:tc>
          <w:tcPr>
            <w:tcW w:type="dxa" w:w="1840"/>
            <w:tcBorders>
              <w:top w:val="single" w:color="1A2E4A" w:sz="4" w:space="0"/>
              <w:left w:val="single" w:color="1A2E4A" w:sz="4" w:space="0"/>
              <w:bottom w:val="single" w:color="1A2E4A" w:sz="4" w:space="0"/>
              <w:right w:val="single" w:color="1A2E4A" w:sz="4" w:space="0"/>
            </w:tcBorders>
            <w:shd w:fill="1A2E4A" w:val="clear"/>
            <w:tcMar>
              <w:top w:type="dxa" w:w="120"/>
              <w:left w:type="dxa" w:w="160"/>
              <w:bottom w:type="dxa" w:w="120"/>
              <w:right w:type="dxa" w:w="160"/>
            </w:tcMar>
          </w:tcPr>
          <w:p>
            <w:pPr>
              <w:jc w:val="center"/>
            </w:pPr>
            <w:r>
              <w:rPr>
                <w:rFonts w:ascii="Arial" w:cs="Arial" w:eastAsia="Arial" w:hAnsi="Arial"/>
                <w:b/>
                <w:bCs/>
                <w:color w:val="FFFFFF"/>
                <w:sz w:val="20"/>
                <w:szCs w:val="20"/>
              </w:rPr>
              <w:t xml:space="preserve">Cure Implied</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Gulag Archipelago</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camp informer; the ideological true believer; the Party intellectual who signs denunciations</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Ideological possession through terror and incentive structures; fear as the primary instrument</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Full moral agency — believes sincerely in the ideology</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Survival, suffering, and the recovery of the inner life through spiritual resistance</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Banality of Evil</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Eichmann: the bureaucratic functionary who never asked the moral question</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Thoughtlessness — the abdication of independent judgment to the system and the career</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Moral vacancy — never engaged the question of right and wrong</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Thinking — the reactivation of judgment through genuine reflection</w:t>
            </w:r>
          </w:p>
        </w:tc>
      </w:tr>
      <w:tr>
        <w:tc>
          <w:tcPr>
            <w:tcW w:type="dxa" w:w="200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1984</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Parsons: the devoted Party member turned in by his own daughter; Winston’s final surrender</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Systematic linguistic and psychological destruction of the capacity for independent selfhood</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Complete erasure of moral agency — the final state is genuine love of Big Brother</w:t>
            </w:r>
          </w:p>
        </w:tc>
        <w:tc>
          <w:tcPr>
            <w:tcW w:type="dxa" w:w="1840"/>
            <w:tcBorders>
              <w:top w:val="single" w:color="D0D5DC" w:sz="4" w:space="0"/>
              <w:left w:val="single" w:color="D0D5DC" w:sz="4" w:space="0"/>
              <w:bottom w:val="single" w:color="D0D5DC" w:sz="4" w:space="0"/>
              <w:right w:val="single" w:color="D0D5DC" w:sz="4" w:space="0"/>
            </w:tcBorders>
            <w:shd w:fill="EFF3F8"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None within the novel’s logic — the transformation is presented as irreversible</w:t>
            </w:r>
          </w:p>
        </w:tc>
      </w:tr>
      <w:tr>
        <w:tc>
          <w:tcPr>
            <w:tcW w:type="dxa" w:w="200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left"/>
            </w:pPr>
            <w:r>
              <w:rPr>
                <w:rFonts w:ascii="Georgia" w:cs="Georgia" w:eastAsia="Georgia" w:hAnsi="Georgia"/>
                <w:b/>
                <w:bCs/>
                <w:color w:val="1A2E4A"/>
                <w:sz w:val="20"/>
                <w:szCs w:val="20"/>
              </w:rPr>
              <w:t xml:space="preserve">FdV / Holoviceosis</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The Freedophobic Man: actively restricts freedom while sincerely believing he is protecting virtue</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Reverse Ethics inverts the moral framework so that vices are experienced as virtues</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Full moral agency — but exercised within an inverted framework</w:t>
            </w:r>
          </w:p>
        </w:tc>
        <w:tc>
          <w:tcPr>
            <w:tcW w:type="dxa" w:w="1840"/>
            <w:tcBorders>
              <w:top w:val="single" w:color="D0D5DC" w:sz="4" w:space="0"/>
              <w:left w:val="single" w:color="D0D5DC" w:sz="4" w:space="0"/>
              <w:bottom w:val="single" w:color="D0D5DC" w:sz="4" w:space="0"/>
              <w:right w:val="single" w:color="D0D5DC" w:sz="4" w:space="0"/>
            </w:tcBorders>
            <w:shd w:fill="FFFFFF" w:val="clear"/>
            <w:tcMar>
              <w:top w:type="dxa" w:w="120"/>
              <w:left w:type="dxa" w:w="160"/>
              <w:bottom w:type="dxa" w:w="120"/>
              <w:right w:type="dxa" w:w="160"/>
            </w:tcMar>
          </w:tcPr>
          <w:p>
            <w:pPr>
              <w:jc w:val="both"/>
            </w:pPr>
            <w:r>
              <w:rPr>
                <w:rFonts w:ascii="Georgia" w:cs="Georgia" w:eastAsia="Georgia" w:hAnsi="Georgia"/>
                <w:b w:val="false"/>
                <w:bCs w:val="false"/>
                <w:color w:val="1A1A1A"/>
                <w:sz w:val="20"/>
                <w:szCs w:val="20"/>
              </w:rPr>
              <w:t xml:space="preserve">Restoration of the virtues in their genuine content, anchored in Freedom as the elemental substrate</w:t>
            </w:r>
          </w:p>
        </w:tc>
      </w:tr>
    </w:tbl>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PART VII — THE LITERATURE OF THE CAGE AND THE LITERATURE OF THE KEY</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report has proceeded from a central analytical claim: that the three canonical works constitute the Literature of the Cage — the most rigorous, courageous, and consequential documentation of what happens when human freedom is systematically destroyed — while the Philosophy of Virtues attempts to constitute the Literature of the Key: the positive, systematic, philosophical account of what freedom is, what the virtues are that depend on it, and what must be built to recover it where it has been lost.</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This framing is not a hierarchy. The Literature of the Cage is not inferior to the Literature of the Key. Without Solzhenitsyn, without Arendt, without Orwell, we would not have the moral vocabulary to recognize the Gulag when it operates without barbed wire, the banality when it operates without uniform, the doublethink when it operates without a Ministry of Truth. The diagnostic power of these three works is irreplaceable and permanent. Every person who engages seriously with the Philosophy of Virtues and Holoviceosis should first have read them.</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But the gap they leave is real and urgent. They tell us with full precision what was destroyed. They do not tell us systematically what to build. They name the disease but do not name the health. They document the cage but not the key.</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The Philosophy of Virtues enters the conversation at this precise gap. Its claim — that Freedom is the elemental virtue, the ontological substrate from which all other human excellences are composed; that God is Freedom; that without Freedom no other virtue is possible but merely its inversion; that the systematic substitution of vices for virtues is a detectable, nameable, mechanically specifiable process called Holoviceosis; and that the restoration of the virtues, beginning with Freedom, is both possible and necessary — is a philosophical response to the most serious questions raised by the 20th century’s darkest literature.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val="false"/>
          <w:iCs w:val="false"/>
          <w:color w:val="1A1A1A"/>
          <w:sz w:val="24"/>
          <w:szCs w:val="24"/>
        </w:rPr>
        <w:t xml:space="preserve">Whether the response is fully adequate is a question for ongoing philosophical development. That it is responding to the right questions — the questions that Solzhenitsyn, Arendt, and Orwell bequeathed to the 21st century without answering — is, on the evidence of this comparative analysis, not in doubt.</w:t>
      </w:r>
    </w:p>
    <w:p>
      <w:pPr>
        <w:spacing w:before="0" w:after="120"/>
      </w:pPr>
      <w:r>
        <w:rPr>
          <w:rFonts w:ascii="Georgia" w:cs="Georgia" w:eastAsia="Georgia" w:hAnsi="Georgia"/>
          <w:sz w:val="24"/>
          <w:szCs w:val="24"/>
        </w:rPr>
        <w:t xml:space="preserve"> </w:t>
      </w:r>
    </w:p>
    <w:p>
      <w:pPr>
        <w:pBdr>
          <w:left w:val="thick" w:color="B8972A" w:sz="18" w:space="18"/>
        </w:pBdr>
        <w:spacing w:before="280" w:after="40"/>
        <w:ind w:left="1080" w:right="1080"/>
        <w:jc w:val="center"/>
      </w:pPr>
      <w:r>
        <w:rPr>
          <w:rFonts w:ascii="Georgia" w:cs="Georgia" w:eastAsia="Georgia" w:hAnsi="Georgia"/>
          <w:i/>
          <w:iCs/>
          <w:color w:val="1A2E4A"/>
          <w:sz w:val="23"/>
          <w:szCs w:val="23"/>
        </w:rPr>
        <w:t xml:space="preserve">"A Liberdade não é um instinto, é um valor moderno e sofisticado. Em termos de humanidade, uma frágil criança. Como toda criança, a Liberdade precisa ser cuidada, protegida e amada."</w:t>
      </w:r>
    </w:p>
    <w:p>
      <w:pPr>
        <w:spacing w:before="40" w:after="280"/>
        <w:ind w:right="1080"/>
        <w:jc w:val="right"/>
      </w:pPr>
      <w:r>
        <w:rPr>
          <w:rFonts w:ascii="Arial" w:cs="Arial" w:eastAsia="Arial" w:hAnsi="Arial"/>
          <w:color w:val="444444"/>
          <w:sz w:val="20"/>
          <w:szCs w:val="20"/>
        </w:rPr>
        <w:t xml:space="preserve">— José Caetano de Mattos Neto, Filosofia das Virtudes, 2023</w:t>
      </w:r>
    </w:p>
    <w:p>
      <w:pPr>
        <w:spacing w:before="0" w:after="8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iCs/>
          <w:color w:val="1A1A1A"/>
          <w:sz w:val="24"/>
          <w:szCs w:val="24"/>
        </w:rPr>
        <w:t xml:space="preserve">Solzhenitsyn, Arendt, and Orwell showed us what happens to the fragile child when she is not protected. When she is starved in the camps. When she is handed to functionaries who never asked her name. When she is broken in Room 101 until she turns against herself.</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val="false"/>
          <w:bCs w:val="false"/>
          <w:i/>
          <w:iCs/>
          <w:color w:val="1A1A1A"/>
          <w:sz w:val="24"/>
          <w:szCs w:val="24"/>
        </w:rPr>
        <w:t xml:space="preserve">The Philosophy of Virtues asks the question none of them fully answered: what does it mean to protect her? What daily practices, what institutional structures, what philosophical framework, what 101 specific behaviors constitute the act of caring for freedom — before the camps come, before the bureaucrat signs the paper, before the screen teaches the child to love her cage?</w:t>
      </w:r>
    </w:p>
    <w:p>
      <w:pPr>
        <w:spacing w:before="0" w:after="60"/>
      </w:pPr>
      <w:r>
        <w:rPr>
          <w:rFonts w:ascii="Georgia" w:cs="Georgia" w:eastAsia="Georgia" w:hAnsi="Georgia"/>
          <w:sz w:val="24"/>
          <w:szCs w:val="24"/>
        </w:rPr>
        <w:t xml:space="preserve"> </w:t>
      </w:r>
    </w:p>
    <w:p>
      <w:pPr>
        <w:spacing w:before="80" w:after="120" w:line="320"/>
        <w:ind/>
        <w:jc w:val="both"/>
      </w:pPr>
      <w:r>
        <w:rPr>
          <w:rFonts w:ascii="Georgia" w:cs="Georgia" w:eastAsia="Georgia" w:hAnsi="Georgia"/>
          <w:b/>
          <w:bCs/>
          <w:i/>
          <w:iCs/>
          <w:color w:val="1A1A1A"/>
          <w:sz w:val="24"/>
          <w:szCs w:val="24"/>
        </w:rPr>
        <w:t xml:space="preserve">That is the question for the 21st century. These four works, read together, are where the question begins.</w:t>
      </w:r>
    </w:p>
    <w:p>
      <w:pPr>
        <w:spacing w:before="0" w:after="120"/>
      </w:pPr>
      <w:r>
        <w:rPr>
          <w:rFonts w:ascii="Georgia" w:cs="Georgia" w:eastAsia="Georgia" w:hAnsi="Georgia"/>
          <w:sz w:val="24"/>
          <w:szCs w:val="24"/>
        </w:rPr>
        <w:t xml:space="preserve"> </w:t>
      </w:r>
    </w:p>
    <w:p>
      <w:r>
        <w:br w:type="page"/>
      </w:r>
    </w:p>
    <w:p>
      <w:pPr>
        <w:pBdr>
          <w:bottom w:val="thick" w:color="B8972A" w:sz="12" w:space="2"/>
        </w:pBdr>
        <w:shd w:fill="1A2E4A" w:val="clear"/>
        <w:spacing w:before="480" w:after="280"/>
        <w:jc w:val="center"/>
      </w:pPr>
      <w:r>
        <w:rPr>
          <w:rFonts w:ascii="Arial" w:cs="Arial" w:eastAsia="Arial" w:hAnsi="Arial"/>
          <w:b/>
          <w:bCs/>
          <w:color w:val="FFFFFF"/>
          <w:sz w:val="34"/>
          <w:szCs w:val="34"/>
        </w:rPr>
        <w:t xml:space="preserve">WORKS CITED AND KEY REFERENCES</w:t>
      </w:r>
    </w:p>
    <w:p>
      <w:pPr>
        <w:spacing w:before="0" w:after="80"/>
      </w:pPr>
      <w:r>
        <w:rPr>
          <w:rFonts w:ascii="Georgia" w:cs="Georgia" w:eastAsia="Georgia" w:hAnsi="Georgia"/>
          <w:sz w:val="24"/>
          <w:szCs w:val="24"/>
        </w:rPr>
        <w:t xml:space="preserve"> </w:t>
      </w:r>
    </w:p>
    <w:p>
      <w:pPr>
        <w:pStyle w:val="Heading2"/>
        <w:spacing w:before="400" w:after="160"/>
      </w:pPr>
      <w:r>
        <w:rPr>
          <w:rFonts w:ascii="Arial" w:cs="Arial" w:eastAsia="Arial" w:hAnsi="Arial"/>
          <w:b/>
          <w:bCs/>
          <w:color w:val="1A2E4A"/>
          <w:sz w:val="30"/>
          <w:szCs w:val="30"/>
        </w:rPr>
        <w:t xml:space="preserve">Primary Works Under Analysis</w:t>
      </w:r>
    </w:p>
    <w:p>
      <w:pPr>
        <w:spacing w:before="80" w:after="120" w:line="320"/>
        <w:ind/>
        <w:jc w:val="both"/>
      </w:pPr>
      <w:r>
        <w:rPr>
          <w:rFonts w:ascii="Georgia" w:cs="Georgia" w:eastAsia="Georgia" w:hAnsi="Georgia"/>
          <w:b w:val="false"/>
          <w:bCs w:val="false"/>
          <w:i w:val="false"/>
          <w:iCs w:val="false"/>
          <w:color w:val="1A1A1A"/>
          <w:sz w:val="24"/>
          <w:szCs w:val="24"/>
        </w:rPr>
        <w:t xml:space="preserve">Solzhenitsyn, Aleksandr I. The Gulag Archipelago, 1918–1956. 3 vols. Trans. Thomas P. Whitney. New York: Harper &amp; Row, 1973–1978.</w:t>
      </w:r>
    </w:p>
    <w:p>
      <w:pPr>
        <w:spacing w:before="80" w:after="120" w:line="320"/>
        <w:ind/>
        <w:jc w:val="both"/>
      </w:pPr>
      <w:r>
        <w:rPr>
          <w:rFonts w:ascii="Georgia" w:cs="Georgia" w:eastAsia="Georgia" w:hAnsi="Georgia"/>
          <w:b w:val="false"/>
          <w:bCs w:val="false"/>
          <w:i w:val="false"/>
          <w:iCs w:val="false"/>
          <w:color w:val="1A1A1A"/>
          <w:sz w:val="24"/>
          <w:szCs w:val="24"/>
        </w:rPr>
        <w:t xml:space="preserve">Arendt, Hannah. Eichmann in Jerusalem: A Report on the Banality of Evil. New York: Viking Press, 1963.</w:t>
      </w:r>
    </w:p>
    <w:p>
      <w:pPr>
        <w:spacing w:before="80" w:after="120" w:line="320"/>
        <w:ind/>
        <w:jc w:val="both"/>
      </w:pPr>
      <w:r>
        <w:rPr>
          <w:rFonts w:ascii="Georgia" w:cs="Georgia" w:eastAsia="Georgia" w:hAnsi="Georgia"/>
          <w:b w:val="false"/>
          <w:bCs w:val="false"/>
          <w:i w:val="false"/>
          <w:iCs w:val="false"/>
          <w:color w:val="1A1A1A"/>
          <w:sz w:val="24"/>
          <w:szCs w:val="24"/>
        </w:rPr>
        <w:t xml:space="preserve">Orwell, George. Nineteen Eighty-Four. London: Secker &amp; Warburg, 1949.</w:t>
      </w:r>
    </w:p>
    <w:p>
      <w:pPr>
        <w:spacing w:before="80" w:after="120" w:line="320"/>
        <w:ind/>
        <w:jc w:val="both"/>
      </w:pPr>
      <w:r>
        <w:rPr>
          <w:rFonts w:ascii="Georgia" w:cs="Georgia" w:eastAsia="Georgia" w:hAnsi="Georgia"/>
          <w:b w:val="false"/>
          <w:bCs w:val="false"/>
          <w:i w:val="false"/>
          <w:iCs w:val="false"/>
          <w:color w:val="1A1A1A"/>
          <w:sz w:val="24"/>
          <w:szCs w:val="24"/>
        </w:rPr>
        <w:t xml:space="preserve">Mattos Neto, José Caetano de. Filosofia das Virtudes — Manifesto das Virtudes. 1st ed. Rio de Janeiro: Edição do Autor, 2023.</w:t>
      </w:r>
    </w:p>
    <w:p>
      <w:pPr>
        <w:spacing w:before="0" w:after="80"/>
      </w:pPr>
      <w:r>
        <w:rPr>
          <w:rFonts w:ascii="Georgia" w:cs="Georgia" w:eastAsia="Georgia" w:hAnsi="Georgia"/>
          <w:sz w:val="24"/>
          <w:szCs w:val="24"/>
        </w:rPr>
        <w:t xml:space="preserve"> </w:t>
      </w:r>
    </w:p>
    <w:p>
      <w:pPr>
        <w:pStyle w:val="Heading2"/>
        <w:spacing w:before="400" w:after="160"/>
      </w:pPr>
      <w:r>
        <w:rPr>
          <w:rFonts w:ascii="Arial" w:cs="Arial" w:eastAsia="Arial" w:hAnsi="Arial"/>
          <w:b/>
          <w:bCs/>
          <w:color w:val="1A2E4A"/>
          <w:sz w:val="30"/>
          <w:szCs w:val="30"/>
        </w:rPr>
        <w:t xml:space="preserve">Related Works by the Primary Authors</w:t>
      </w:r>
    </w:p>
    <w:p>
      <w:pPr>
        <w:spacing w:before="80" w:after="120" w:line="320"/>
        <w:ind/>
        <w:jc w:val="both"/>
      </w:pPr>
      <w:r>
        <w:rPr>
          <w:rFonts w:ascii="Georgia" w:cs="Georgia" w:eastAsia="Georgia" w:hAnsi="Georgia"/>
          <w:b w:val="false"/>
          <w:bCs w:val="false"/>
          <w:i w:val="false"/>
          <w:iCs w:val="false"/>
          <w:color w:val="1A1A1A"/>
          <w:sz w:val="24"/>
          <w:szCs w:val="24"/>
        </w:rPr>
        <w:t xml:space="preserve">Arendt, Hannah. The Origins of Totalitarianism. New York: Harcourt Brace, 1951.</w:t>
      </w:r>
    </w:p>
    <w:p>
      <w:pPr>
        <w:spacing w:before="80" w:after="120" w:line="320"/>
        <w:ind/>
        <w:jc w:val="both"/>
      </w:pPr>
      <w:r>
        <w:rPr>
          <w:rFonts w:ascii="Georgia" w:cs="Georgia" w:eastAsia="Georgia" w:hAnsi="Georgia"/>
          <w:b w:val="false"/>
          <w:bCs w:val="false"/>
          <w:i w:val="false"/>
          <w:iCs w:val="false"/>
          <w:color w:val="1A1A1A"/>
          <w:sz w:val="24"/>
          <w:szCs w:val="24"/>
        </w:rPr>
        <w:t xml:space="preserve">Arendt, Hannah. The Human Condition. 2nd ed. Chicago: University of Chicago Press, 1998.</w:t>
      </w:r>
    </w:p>
    <w:p>
      <w:pPr>
        <w:spacing w:before="80" w:after="120" w:line="320"/>
        <w:ind/>
        <w:jc w:val="both"/>
      </w:pPr>
      <w:r>
        <w:rPr>
          <w:rFonts w:ascii="Georgia" w:cs="Georgia" w:eastAsia="Georgia" w:hAnsi="Georgia"/>
          <w:b w:val="false"/>
          <w:bCs w:val="false"/>
          <w:i w:val="false"/>
          <w:iCs w:val="false"/>
          <w:color w:val="1A1A1A"/>
          <w:sz w:val="24"/>
          <w:szCs w:val="24"/>
        </w:rPr>
        <w:t xml:space="preserve">Orwell, George. “Politics and the English Language.” Horizon 13.76 (1946): 252–265.</w:t>
      </w:r>
    </w:p>
    <w:p>
      <w:pPr>
        <w:spacing w:before="80" w:after="120" w:line="320"/>
        <w:ind/>
        <w:jc w:val="both"/>
      </w:pPr>
      <w:r>
        <w:rPr>
          <w:rFonts w:ascii="Georgia" w:cs="Georgia" w:eastAsia="Georgia" w:hAnsi="Georgia"/>
          <w:b w:val="false"/>
          <w:bCs w:val="false"/>
          <w:i w:val="false"/>
          <w:iCs w:val="false"/>
          <w:color w:val="1A1A1A"/>
          <w:sz w:val="24"/>
          <w:szCs w:val="24"/>
        </w:rPr>
        <w:t xml:space="preserve">Solzhenitsyn, Aleksandr I. One Day in the Life of Ivan Denisovich. Trans. Max Hayward. New York: Praeger, 1963.</w:t>
      </w:r>
    </w:p>
    <w:p>
      <w:pPr>
        <w:spacing w:before="0" w:after="80"/>
      </w:pPr>
      <w:r>
        <w:rPr>
          <w:rFonts w:ascii="Georgia" w:cs="Georgia" w:eastAsia="Georgia" w:hAnsi="Georgia"/>
          <w:sz w:val="24"/>
          <w:szCs w:val="24"/>
        </w:rPr>
        <w:t xml:space="preserve"> </w:t>
      </w:r>
    </w:p>
    <w:p>
      <w:pPr>
        <w:pStyle w:val="Heading2"/>
        <w:spacing w:before="400" w:after="160"/>
      </w:pPr>
      <w:r>
        <w:rPr>
          <w:rFonts w:ascii="Arial" w:cs="Arial" w:eastAsia="Arial" w:hAnsi="Arial"/>
          <w:b/>
          <w:bCs/>
          <w:color w:val="1A2E4A"/>
          <w:sz w:val="30"/>
          <w:szCs w:val="30"/>
        </w:rPr>
        <w:t xml:space="preserve">Philosophical and Theoretical Context</w:t>
      </w:r>
    </w:p>
    <w:p>
      <w:pPr>
        <w:spacing w:before="80" w:after="120" w:line="320"/>
        <w:ind/>
        <w:jc w:val="both"/>
      </w:pPr>
      <w:r>
        <w:rPr>
          <w:rFonts w:ascii="Georgia" w:cs="Georgia" w:eastAsia="Georgia" w:hAnsi="Georgia"/>
          <w:b w:val="false"/>
          <w:bCs w:val="false"/>
          <w:i w:val="false"/>
          <w:iCs w:val="false"/>
          <w:color w:val="1A1A1A"/>
          <w:sz w:val="24"/>
          <w:szCs w:val="24"/>
        </w:rPr>
        <w:t xml:space="preserve">Berlin, Isaiah. “Two Concepts of Liberty.” Four Essays on Liberty. Oxford: Oxford University Press, 1969.</w:t>
      </w:r>
    </w:p>
    <w:p>
      <w:pPr>
        <w:spacing w:before="80" w:after="120" w:line="320"/>
        <w:ind/>
        <w:jc w:val="both"/>
      </w:pPr>
      <w:r>
        <w:rPr>
          <w:rFonts w:ascii="Georgia" w:cs="Georgia" w:eastAsia="Georgia" w:hAnsi="Georgia"/>
          <w:b w:val="false"/>
          <w:bCs w:val="false"/>
          <w:i w:val="false"/>
          <w:iCs w:val="false"/>
          <w:color w:val="1A1A1A"/>
          <w:sz w:val="24"/>
          <w:szCs w:val="24"/>
        </w:rPr>
        <w:t xml:space="preserve">Fromm, Erich. Escape from Freedom. New York: Farrar &amp; Rinehart, 1941.</w:t>
      </w:r>
    </w:p>
    <w:p>
      <w:pPr>
        <w:spacing w:before="80" w:after="120" w:line="320"/>
        <w:ind/>
        <w:jc w:val="both"/>
      </w:pPr>
      <w:r>
        <w:rPr>
          <w:rFonts w:ascii="Georgia" w:cs="Georgia" w:eastAsia="Georgia" w:hAnsi="Georgia"/>
          <w:b w:val="false"/>
          <w:bCs w:val="false"/>
          <w:i w:val="false"/>
          <w:iCs w:val="false"/>
          <w:color w:val="1A1A1A"/>
          <w:sz w:val="24"/>
          <w:szCs w:val="24"/>
        </w:rPr>
        <w:t xml:space="preserve">Gramsci, Antonio. Selections from the Prison Notebooks. Trans. Quintin Hoare and Geoffrey Nowell Smith. London: Lawrence and Wishart, 1971.</w:t>
      </w:r>
    </w:p>
    <w:p>
      <w:pPr>
        <w:spacing w:before="80" w:after="120" w:line="320"/>
        <w:ind/>
        <w:jc w:val="both"/>
      </w:pPr>
      <w:r>
        <w:rPr>
          <w:rFonts w:ascii="Georgia" w:cs="Georgia" w:eastAsia="Georgia" w:hAnsi="Georgia"/>
          <w:b w:val="false"/>
          <w:bCs w:val="false"/>
          <w:i w:val="false"/>
          <w:iCs w:val="false"/>
          <w:color w:val="1A1A1A"/>
          <w:sz w:val="24"/>
          <w:szCs w:val="24"/>
        </w:rPr>
        <w:t xml:space="preserve">Marcuse, Herbert. One-Dimensional Man. Boston: Beacon Press, 1964.</w:t>
      </w:r>
    </w:p>
    <w:p>
      <w:pPr>
        <w:spacing w:before="80" w:after="120" w:line="320"/>
        <w:ind/>
        <w:jc w:val="both"/>
      </w:pPr>
      <w:r>
        <w:rPr>
          <w:rFonts w:ascii="Georgia" w:cs="Georgia" w:eastAsia="Georgia" w:hAnsi="Georgia"/>
          <w:b w:val="false"/>
          <w:bCs w:val="false"/>
          <w:i w:val="false"/>
          <w:iCs w:val="false"/>
          <w:color w:val="1A1A1A"/>
          <w:sz w:val="24"/>
          <w:szCs w:val="24"/>
        </w:rPr>
        <w:t xml:space="preserve">Foucault, Michel. Discipline and Punish: The Birth of the Prison. Trans. Alan Sheridan. New York: Pantheon Books, 1977.</w:t>
      </w:r>
    </w:p>
    <w:p>
      <w:pPr>
        <w:spacing w:before="80" w:after="120" w:line="320"/>
        <w:ind/>
        <w:jc w:val="both"/>
      </w:pPr>
      <w:r>
        <w:rPr>
          <w:rFonts w:ascii="Georgia" w:cs="Georgia" w:eastAsia="Georgia" w:hAnsi="Georgia"/>
          <w:b w:val="false"/>
          <w:bCs w:val="false"/>
          <w:i w:val="false"/>
          <w:iCs w:val="false"/>
          <w:color w:val="1A1A1A"/>
          <w:sz w:val="24"/>
          <w:szCs w:val="24"/>
        </w:rPr>
        <w:t xml:space="preserve">Galtung, Johan. “Violence, Peace, and Peace Research.” Journal of Peace Research 6.3 (1969): 167–191.</w:t>
      </w:r>
    </w:p>
    <w:p>
      <w:pPr>
        <w:spacing w:before="80" w:after="120" w:line="320"/>
        <w:ind/>
        <w:jc w:val="both"/>
      </w:pPr>
      <w:r>
        <w:rPr>
          <w:rFonts w:ascii="Georgia" w:cs="Georgia" w:eastAsia="Georgia" w:hAnsi="Georgia"/>
          <w:b w:val="false"/>
          <w:bCs w:val="false"/>
          <w:i w:val="false"/>
          <w:iCs w:val="false"/>
          <w:color w:val="1A1A1A"/>
          <w:sz w:val="24"/>
          <w:szCs w:val="24"/>
        </w:rPr>
        <w:t xml:space="preserve">Tocqueville, Alexis de. Democracy in America. Vol. II. Trans. Harvey C. Mansfield and Delba Winthrop. Chicago: University of Chicago Press, 2000.</w:t>
      </w:r>
    </w:p>
    <w:p>
      <w:pPr>
        <w:spacing w:before="0" w:after="120"/>
      </w:pPr>
      <w:r>
        <w:rPr>
          <w:rFonts w:ascii="Georgia" w:cs="Georgia" w:eastAsia="Georgia" w:hAnsi="Georgia"/>
          <w:sz w:val="24"/>
          <w:szCs w:val="24"/>
        </w:rPr>
        <w:t xml:space="preserve"> </w:t>
      </w:r>
    </w:p>
    <w:p>
      <w:pPr>
        <w:pBdr>
          <w:bottom w:val="single" w:color="B8972A" w:sz="8" w:space="1"/>
        </w:pBdr>
        <w:spacing w:before="160" w:after="160"/>
      </w:pPr>
      <w:r>
        <w:rPr>
          <w:sz w:val="4"/>
          <w:szCs w:val="4"/>
        </w:rPr>
        <w:t xml:space="preserve"> </w:t>
      </w:r>
    </w:p>
    <w:p>
      <w:pPr>
        <w:spacing w:before="0" w:after="80"/>
      </w:pPr>
      <w:r>
        <w:rPr>
          <w:rFonts w:ascii="Georgia" w:cs="Georgia" w:eastAsia="Georgia" w:hAnsi="Georgia"/>
          <w:sz w:val="24"/>
          <w:szCs w:val="24"/>
        </w:rPr>
        <w:t xml:space="preserve"> </w:t>
      </w:r>
    </w:p>
    <w:p>
      <w:pPr>
        <w:spacing w:before="0" w:after="60"/>
        <w:jc w:val="center"/>
      </w:pPr>
      <w:r>
        <w:rPr>
          <w:rFonts w:ascii="Arial" w:cs="Arial" w:eastAsia="Arial" w:hAnsi="Arial"/>
          <w:b/>
          <w:bCs/>
          <w:color w:val="1A2E4A"/>
          <w:sz w:val="22"/>
          <w:szCs w:val="22"/>
        </w:rPr>
        <w:t xml:space="preserve">THE LITERATURE OF THE CAGE AND THE PHILOSOPHY OF THE KEY</w:t>
      </w:r>
    </w:p>
    <w:p>
      <w:pPr>
        <w:spacing w:before="0" w:after="60"/>
        <w:jc w:val="center"/>
      </w:pPr>
      <w:r>
        <w:rPr>
          <w:rFonts w:ascii="Georgia" w:cs="Georgia" w:eastAsia="Georgia" w:hAnsi="Georgia"/>
          <w:i/>
          <w:iCs/>
          <w:color w:val="444444"/>
          <w:sz w:val="20"/>
          <w:szCs w:val="20"/>
        </w:rPr>
        <w:t xml:space="preserve">A Comparative Analytical Report</w:t>
      </w:r>
    </w:p>
    <w:p>
      <w:pPr>
        <w:spacing w:before="0" w:after="0"/>
        <w:jc w:val="center"/>
      </w:pPr>
      <w:r>
        <w:rPr>
          <w:rFonts w:ascii="Arial" w:cs="Arial" w:eastAsia="Arial" w:hAnsi="Arial"/>
          <w:color w:val="444444"/>
          <w:sz w:val="18"/>
          <w:szCs w:val="18"/>
        </w:rPr>
        <w:t xml:space="preserve">José Caetano de Mattos Neto  •  Filosofia das Virtudes  •  March 2026</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DC" w:sz="4" w:space="4"/>
      </w:pBdr>
      <w:jc w:val="center"/>
    </w:pPr>
    <w:r>
      <w:rPr>
        <w:rFonts w:ascii="Arial" w:cs="Arial" w:eastAsia="Arial" w:hAnsi="Arial"/>
        <w:color w:val="444444"/>
        <w:sz w:val="16"/>
        <w:szCs w:val="16"/>
      </w:rPr>
      <w:t xml:space="preserve">Filosofia das Virtudes  •  José Caetano de Mattos Neto  •  </w:t>
    </w:r>
    <w:r>
      <w:rPr>
        <w:rFonts w:ascii="Arial" w:cs="Arial" w:eastAsia="Arial" w:hAnsi="Arial"/>
        <w:color w:val="444444"/>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72A" w:sz="6" w:space="4"/>
      </w:pBdr>
      <w:jc w:val="right"/>
    </w:pPr>
    <w:r>
      <w:rPr>
        <w:rFonts w:ascii="Arial" w:cs="Arial" w:eastAsia="Arial" w:hAnsi="Arial"/>
        <w:i/>
        <w:iCs/>
        <w:color w:val="444444"/>
        <w:sz w:val="18"/>
        <w:szCs w:val="18"/>
      </w:rPr>
      <w:t xml:space="preserve">The Literature of the Cage and the Philosophy of the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560" w:after="200"/>
      <w:outlineLvl w:val="0"/>
    </w:pPr>
    <w:rPr>
      <w:rFonts w:ascii="Arial" w:cs="Arial" w:eastAsia="Arial" w:hAnsi="Arial"/>
      <w:b/>
      <w:bCs/>
      <w:color w:val="1A2E4A"/>
      <w:sz w:val="40"/>
      <w:szCs w:val="40"/>
    </w:rPr>
  </w:style>
  <w:style w:type="paragraph" w:styleId="Heading2">
    <w:name w:val="Heading 2"/>
    <w:basedOn w:val="Normal"/>
    <w:next w:val="Normal"/>
    <w:qFormat/>
    <w:pPr>
      <w:spacing w:before="400" w:after="160"/>
      <w:outlineLvl w:val="1"/>
    </w:pPr>
    <w:rPr>
      <w:rFonts w:ascii="Arial" w:cs="Arial" w:eastAsia="Arial" w:hAnsi="Arial"/>
      <w:b/>
      <w:bCs/>
      <w:color w:val="1A2E4A"/>
      <w:sz w:val="30"/>
      <w:szCs w:val="30"/>
    </w:rPr>
  </w:style>
  <w:style w:type="paragraph" w:styleId="Heading3">
    <w:name w:val="Heading 3"/>
    <w:basedOn w:val="Normal"/>
    <w:next w:val="Normal"/>
    <w:qFormat/>
    <w:pPr>
      <w:spacing w:before="320" w:after="120"/>
      <w:outlineLvl w:val="2"/>
    </w:pPr>
    <w:rPr>
      <w:rFonts w:ascii="Arial" w:cs="Arial" w:eastAsia="Arial" w:hAnsi="Arial"/>
      <w:b/>
      <w:bCs/>
      <w:color w:val="2E599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2026-03-27T12:07:18.513Z</dcterms:created>
  <dcterms:modified xsi:type="dcterms:W3CDTF">2026-03-27T12:07:18.514Z</dcterms:modified>
</cp:coreProperties>
</file>

<file path=docProps/custom.xml><?xml version="1.0" encoding="utf-8"?>
<Properties xmlns="http://schemas.openxmlformats.org/officeDocument/2006/custom-properties" xmlns:vt="http://schemas.openxmlformats.org/officeDocument/2006/docPropsVTypes"/>
</file>