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p>
    <w:p>
      <w:pPr>
        <w:spacing w:after="60" w:line="280" w:lineRule="auto"/>
        <w:jc w:val="center"/>
      </w:pPr>
      <w:r>
        <w:rPr>
          <w:rFonts w:ascii="Palatino Linotype" w:cs="Palatino Linotype" w:eastAsia="Palatino Linotype" w:hAnsi="Palatino Linotype"/>
          <w:b/>
          <w:bCs/>
          <w:i w:val="false"/>
          <w:iCs w:val="false"/>
          <w:color w:val="888888"/>
          <w:sz w:val="16"/>
          <w:szCs w:val="16"/>
        </w:rPr>
        <w:t xml:space="preserve">FILOSOFIA DAS VIRTUDES</w:t>
      </w:r>
    </w:p>
    <w:p>
      <w:pPr>
        <w:spacing w:after="120"/>
        <w:jc w:val="center"/>
      </w:pPr>
      <w:r>
        <w:rPr>
          <w:rFonts w:ascii="Palatino Linotype" w:cs="Palatino Linotype" w:eastAsia="Palatino Linotype" w:hAnsi="Palatino Linotype"/>
          <w:b/>
          <w:bCs/>
          <w:color w:val="1A1A6E"/>
          <w:sz w:val="40"/>
          <w:szCs w:val="40"/>
        </w:rPr>
        <w:t xml:space="preserve">Towards a Constitutive Theory of Beauty:</w:t>
      </w:r>
    </w:p>
    <w:p>
      <w:pPr>
        <w:spacing w:after="200"/>
        <w:jc w:val="center"/>
      </w:pPr>
      <w:r>
        <w:rPr>
          <w:rFonts w:ascii="Palatino Linotype" w:cs="Palatino Linotype" w:eastAsia="Palatino Linotype" w:hAnsi="Palatino Linotype"/>
          <w:i/>
          <w:iCs/>
          <w:color w:val="4A5898"/>
          <w:sz w:val="26"/>
          <w:szCs w:val="26"/>
        </w:rPr>
        <w:t xml:space="preserve">Formal Foundations for a Mathematical Model of Aesthetic Structure</w:t>
      </w:r>
    </w:p>
    <w:p>
      <w:pPr>
        <w:spacing w:after="80" w:line="280" w:lineRule="auto"/>
        <w:jc w:val="center"/>
      </w:pPr>
      <w:r>
        <w:rPr>
          <w:rFonts w:ascii="Palatino Linotype" w:cs="Palatino Linotype" w:eastAsia="Palatino Linotype" w:hAnsi="Palatino Linotype"/>
          <w:b/>
          <w:bCs/>
          <w:i w:val="false"/>
          <w:iCs w:val="false"/>
          <w:color w:val="1C1C1C"/>
          <w:sz w:val="22"/>
          <w:szCs w:val="22"/>
        </w:rPr>
        <w:t xml:space="preserve">José Caetano de Mattos</w:t>
      </w:r>
    </w:p>
    <w:p>
      <w:pPr>
        <w:spacing w:after="60" w:line="280" w:lineRule="auto"/>
        <w:jc w:val="center"/>
      </w:pPr>
      <w:r>
        <w:rPr>
          <w:rFonts w:ascii="Palatino Linotype" w:cs="Palatino Linotype" w:eastAsia="Palatino Linotype" w:hAnsi="Palatino Linotype"/>
          <w:b w:val="false"/>
          <w:bCs w:val="false"/>
          <w:i/>
          <w:iCs/>
          <w:color w:val="555555"/>
          <w:sz w:val="18"/>
          <w:szCs w:val="18"/>
        </w:rPr>
        <w:t xml:space="preserve">Filosofia das Virtudes · Merano / Rio de Janeiro · 2026</w:t>
      </w:r>
    </w:p>
    <w:p>
      <w:pPr>
        <w:spacing w:after="280" w:line="280" w:lineRule="auto"/>
        <w:jc w:val="center"/>
      </w:pPr>
      <w:r>
        <w:rPr>
          <w:rFonts w:ascii="Palatino Linotype" w:cs="Palatino Linotype" w:eastAsia="Palatino Linotype" w:hAnsi="Palatino Linotype"/>
          <w:b w:val="false"/>
          <w:bCs w:val="false"/>
          <w:i w:val="false"/>
          <w:iCs w:val="false"/>
          <w:color w:val="2E3192"/>
          <w:sz w:val="18"/>
          <w:szCs w:val="18"/>
        </w:rPr>
        <w:t xml:space="preserve">filosofia@virtudes.org</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3192" w:sz="3"/>
              <w:left w:val="single" w:color="2E3192" w:sz="3"/>
              <w:bottom w:val="single" w:color="2E3192" w:sz="3"/>
              <w:right w:val="single" w:color="2E3192" w:sz="3"/>
            </w:tcBorders>
            <w:shd w:fill="F4F4FF" w:val="clear"/>
            <w:tcMar>
              <w:top w:type="dxa" w:w="180"/>
              <w:left w:type="dxa" w:w="240"/>
              <w:bottom w:type="dxa" w:w="180"/>
              <w:right w:type="dxa" w:w="240"/>
            </w:tcMar>
          </w:tcPr>
          <w:p>
            <w:pPr>
              <w:spacing w:after="100"/>
            </w:pPr>
            <w:r>
              <w:rPr>
                <w:rFonts w:ascii="Palatino Linotype" w:cs="Palatino Linotype" w:eastAsia="Palatino Linotype" w:hAnsi="Palatino Linotype"/>
                <w:b/>
                <w:bCs/>
                <w:caps/>
                <w:color w:val="2E3192"/>
                <w:sz w:val="18"/>
                <w:szCs w:val="18"/>
              </w:rPr>
              <w:t xml:space="preserve">ABSTRACT</w:t>
            </w:r>
          </w:p>
          <w:p>
            <w:pPr>
              <w:spacing w:after="100" w:line="258"/>
              <w:jc w:val="both"/>
            </w:pPr>
            <w:r>
              <w:rPr>
                <w:rFonts w:ascii="Palatino Linotype" w:cs="Palatino Linotype" w:eastAsia="Palatino Linotype" w:hAnsi="Palatino Linotype"/>
                <w:sz w:val="18"/>
                <w:szCs w:val="18"/>
              </w:rPr>
              <w:t xml:space="preserve">The philosophy and science of beauty share a foundational lacuna: no tradition has formally derived what structural property of an object makes it beautiful, independently of the perceiver. Every major account — from Platonic idealism through Kantian disinterestedness to contemporary neuroaesthetics — describes the aesthetic response without specifying the object-side configuration that produces it. This article applies the Method of Frontier Knowledge to identify and formally occupy that lacuna. We argue that the unexamined assumption unifying all prior traditions is the relational thesis: beauty is produced by the interaction between a structured object and a perceiving subject. We perform a compositional inversion of this assumption, proposing instead that beauty is an objective structural configuration — the organised tension between symmetry and information density at multiple scales — that nervous systems with sufficient complexity have evolved to detect. We introduce the Constitutive Beauty Formula B = f(S, I, T), formally specify the optimal tension constant k* in terms of Kolmogorov complexity with explicit equations and statistical fractal qualification, and derive the Ugliness Inversion Theorem (B − T = −B) with its reframing of ugliness as a broken compression promise. We introduce the Subject Resolution Variable R_s to formally account for perceiver bandwidth, expertise, and cultural variation within the objective framework. We confirm the hypothesis across five disciplines with full variable operationalisation, and provide four formally-bounded extension theorems. We derive the Beauty–Truth Identity B(T) ∝ P(T)/K(T), extend it to non-theoretical objects via Generative Compressibility GC(x) = G(x)/K(x) with a concrete operationalisation of G(x), and establish the connection between k* and Self-Organised Criticality as a physical grounding for the entire framework. Nine falsifiable predictions with specific experimental designs are provided. The article is fully self-contained.</w:t>
            </w:r>
          </w:p>
          <w:p>
            <w:pPr>
              <w:spacing w:after="0"/>
            </w:pPr>
            <w:r>
              <w:rPr>
                <w:rFonts w:ascii="Palatino Linotype" w:cs="Palatino Linotype" w:eastAsia="Palatino Linotype" w:hAnsi="Palatino Linotype"/>
                <w:i/>
                <w:iCs/>
                <w:color w:val="444444"/>
                <w:sz w:val="17"/>
                <w:szCs w:val="17"/>
              </w:rPr>
              <w:t xml:space="preserve">Keywords: aesthetics · philosophy of beauty · formal aesthetics · neuroaesthetics · information theory · constitutive theory · Birkhoff · fractal dimension · symmetry · Kolmogorov complexity · beauty–truth identity · compositional inversion · generative compressibility · minimum description length · subject resolution · self-organised criticality</w:t>
            </w:r>
          </w:p>
        </w:tc>
      </w:tr>
    </w:tbl>
    <w:p>
      <w:pPr>
        <w:spacing w:after="240"/>
      </w:pPr>
    </w:p>
    <w:p>
      <w:pPr>
        <w:pStyle w:val="Heading1"/>
        <w:spacing w:after="140" w:before="320"/>
      </w:pPr>
      <w:r>
        <w:rPr>
          <w:rFonts w:ascii="Palatino Linotype" w:cs="Palatino Linotype" w:eastAsia="Palatino Linotype" w:hAnsi="Palatino Linotype"/>
        </w:rPr>
        <w:t xml:space="preserve">Methodological Note — The Compositional Inversion Procedure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article employs a specific analytical method — the compositional inversion — stated here for self-contained clarity, requiring no prior familiarity with any other work by the author. The method has two moves.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first move is the negative space survey: rather than reading a tradition to learn what it has said, one reads it to map precisely where it stopped — the questions every major account circled without entering. These stopping points constitute the productive sites for original work.</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second move is the compositional inversion: when a tradition consistently treats X as a condition or container for Y ('the perceiver is required for beauty'), one asks whether X is instead the substance of which Y is constituted. This is a structural re-specification, not a rhetorical reversal. If X is conditional, removing it reduces Y to zero. If X is constitutive, removing it inverts Y into its opposite — which is a formally different prediction and empirically distinguishable. The entire architecture of this article follows from that one structural question applied to the aesthetics tradition.</w:t>
      </w:r>
    </w:p>
    <w:p>
      <w:pPr>
        <w:spacing w:after="80"/>
      </w:pPr>
    </w:p>
    <w:p>
      <w:pPr>
        <w:pStyle w:val="Heading1"/>
        <w:spacing w:after="140" w:before="320"/>
      </w:pPr>
      <w:r>
        <w:rPr>
          <w:rFonts w:ascii="Palatino Linotype" w:cs="Palatino Linotype" w:eastAsia="Palatino Linotype" w:hAnsi="Palatino Linotype"/>
        </w:rPr>
        <w:t xml:space="preserve">I.  Preamble and Scope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article does not aim to resolve the question of beauty in the sense of providing a complete and experimentally confirmed formal system. It aims to do what no prior tradition has done: formally occupy the structural position from which such a system becomes derivable. The distinction matters precisely because it determines what counts as a genuine advance.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Birkhoff (1933) attempted a formula without defining his primitive terms. Zeki's neuroaesthetics (1999–2024) mapped the neural correlates of aesthetic response without specifying the object-side property being detected. Ramachandran and Hirstein (1999) identified heuristic principles without deriving them from a foundational claim. The result is a tradition rich in observation and weak in formal architecture. More precisely: the tradition has the right observations but the wrong framing. It has been asking 'how does the subject respond to beauty?' when the prior question — the one whose answer would make the response question tractable — is 'what structural property of the object is the subject responding to?'</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article proceeds in twelve sections: methodological note (above); tradition survey as negative cartography (II); identification of the silent assumption (III); the compositional inversion and formal architecture including explicit k* derivation (IV); five-discipline cross-confirmation with variable operationalisation (V); the Subject Resolution Variable and the calibration asymmetry (VI); engagement with the strongest objections (VII); incompleteness zones and formally-bounded extension theorems (VIII); the Beauty–Truth Identity and its extension to non-theoretical objects via Generative Compressibility (IX); the connection to Self-Organised Criticality as physical grounding (X); falsifiable predictions and experimental designs (XI); and the research programme (XII).</w:t>
      </w:r>
    </w:p>
    <w:p>
      <w:pPr>
        <w:spacing w:after="80"/>
      </w:pPr>
    </w:p>
    <w:p>
      <w:pPr>
        <w:pStyle w:val="Heading1"/>
        <w:spacing w:after="140" w:before="320"/>
      </w:pPr>
      <w:r>
        <w:rPr>
          <w:rFonts w:ascii="Palatino Linotype" w:cs="Palatino Linotype" w:eastAsia="Palatino Linotype" w:hAnsi="Palatino Linotype"/>
        </w:rPr>
        <w:t xml:space="preserve">II.  Tradition Survey — The Negative Space Map</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survey question is not what each tradition says about beauty but where each one stops. The stopping points, aggregated, constitute the productive negative space.</w:t>
      </w:r>
    </w:p>
    <w:p>
      <w:pPr>
        <w:pStyle w:val="Heading2"/>
        <w:spacing w:after="140" w:before="220"/>
      </w:pPr>
      <w:r>
        <w:rPr>
          <w:rFonts w:ascii="Palatino Linotype" w:cs="Palatino Linotype" w:eastAsia="Palatino Linotype" w:hAnsi="Palatino Linotype"/>
        </w:rPr>
        <w:t xml:space="preserve">2.1  The philosophical tradition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Plato locates beauty in the Form of the Beautiful — an eternal, mind-independent entity of which particular beautiful things are imperfect instances. This is the earliest constitutive gesture in the tradition: beauty is in the object, not the beholder. Yet Plato provides no formal specification of what configuration of matter instantiates the Form. His stopping point: beauty is objective but formally unspecified. The gesture is correct; the derivation is absent.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Aristotle addresses beauty briefly in the Poetics and Metaphysics, associating it with order (taxis), symmetry (symmetria), and definiteness (horismenon). He gestures toward structural properties of objects rather than abstract Forms. But Aristotle never asks what specific quantity of symmetry, or what relationship between symmetry and its violation, produces the beauty-response. He names the structural variables without constructing the function. The stopping point: the variables exist in Aristotle; the function relating them does not.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Kant's Critique of Judgement (1790) performs a sophisticated inversion: the aesthetic judgement claims universal validity but is grounded not in any property of the object but in the free play of imagination and understanding in the subject. Kant explicitly denies that beauty is a concept applicable to objects — it is a pure formal pleasure in the cognitive activity of apprehending the object. His stopping point: Kant formally explains the structure of aesthetic judgement while deliberately refusing to specify object-side conditions. This refusal is the silent assumption this article must examine. Kant is not wrong about the experience; he has misidentified where the explanation should be sought.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Hume's subjectivism (1757) is more radical: beauty 'exists merely in the mind which contemplates' objects. The standard of taste is statistically normative — the consensus of qualified judges — not structurally derived. His stopping point: no object-side specification whatsoever. This is not a theory of beauty but a theory of beauty-talk.</w:t>
      </w:r>
    </w:p>
    <w:p>
      <w:pPr>
        <w:pStyle w:val="Heading2"/>
        <w:spacing w:after="140" w:before="220"/>
      </w:pPr>
      <w:r>
        <w:rPr>
          <w:rFonts w:ascii="Palatino Linotype" w:cs="Palatino Linotype" w:eastAsia="Palatino Linotype" w:hAnsi="Palatino Linotype"/>
        </w:rPr>
        <w:t xml:space="preserve">2.2  The formal tradition — Birkhoff and its structural failure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George David Birkhoff's Aesthetic Measure (1933) is the only prior attempt at a complete mathematical formula for beauty:</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M = O / C</w:t>
            </w:r>
          </w:p>
          <w:p>
            <w:pPr>
              <w:spacing w:after="0"/>
              <w:jc w:val="center"/>
            </w:pPr>
            <w:r>
              <w:rPr>
                <w:rFonts w:ascii="Palatino Linotype" w:cs="Palatino Linotype" w:eastAsia="Palatino Linotype" w:hAnsi="Palatino Linotype"/>
                <w:i/>
                <w:iCs/>
                <w:color w:val="555555"/>
                <w:sz w:val="17"/>
                <w:szCs w:val="17"/>
              </w:rPr>
              <w:t xml:space="preserve">Birkhoff (1933): M = aesthetic measure · O = order · C = complexity</w:t>
            </w:r>
          </w:p>
        </w:tc>
        <w:tc>
          <w:tcPr>
            <w:tcW w:type="dxa" w:w="1400"/>
            <w:tcBorders>
              <w:top w:val="none" w:color="FFFFFF" w:sz="0"/>
              <w:left w:val="none" w:color="FFFFFF" w:sz="0"/>
              <w:bottom w:val="none" w:color="FFFFFF" w:sz="0"/>
              <w:right w:val="none" w:color="FFFFFF" w:sz="0"/>
            </w:tcBorders>
          </w:tcPr>
          <w:p>
            <w:pPr>
              <w:spacing w:after="0"/>
            </w:pPr>
          </w:p>
        </w:tc>
      </w:tr>
    </w:tbl>
    <w:p>
      <w:pPr>
        <w:spacing w:after="12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formula has the right intuition: beauty is neither maximal order nor maximal complexity but a relationship between them. The critical failure is that O and C are not defined in terms of any more primitive properties — they are named without derivation. But there is a further structural problem the literature has underemphasised. M = O/C is monotonically increasing in O for fixed C, and monotonically decreasing in C for fixed O. This predicts that maximum order at minimum complexity always maximises beauty — a prediction that is empirically false. A perfectly regular grid has maximum order and minimum complexity; it is experienced as sterile, not beautiful. Birkhoff's formula cannot explain its own failure mode because it lacks the tension variable T that captures the irreducible relationship between order and information density. The Constitutive Beauty Formula does not refine Birkhoff; it corrects the structural error that makes his formula inapplicable to its own test cases.</w:t>
      </w:r>
    </w:p>
    <w:p>
      <w:pPr>
        <w:pStyle w:val="Heading2"/>
        <w:spacing w:after="140" w:before="220"/>
      </w:pPr>
      <w:r>
        <w:rPr>
          <w:rFonts w:ascii="Palatino Linotype" w:cs="Palatino Linotype" w:eastAsia="Palatino Linotype" w:hAnsi="Palatino Linotype"/>
        </w:rPr>
        <w:t xml:space="preserve">2.3  Neuroaesthetics — the right data, the wrong question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Zeki's neuroaesthetics (1999–present) provides the most robust empirical base in the tradition. Two findings are structurally decisive for this article.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First: the medial orbitofrontal cortex (mOFC, specifically field A1) encodes beauty along a single parametric axis, independent of whether the stimulus is visual, auditory, or conceptual. The same neural variable encodes the beauty of a face, a symphony, and a mathematical proof. Any formal theory must specify a single structural variable that applies across all sensory and cognitive domains. This is a hard constraint that Birkhoff, Kant, and Hume do not satisfy.</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Second: ugliness and beauty are not encoded by separate neural systems. As Rasche et al. (2024) have demonstrated, as ugliness intensifies, mOFC activity decreases while amygdala and insula responses increase, supporting the view that the mOFC represents beauty and ugliness along a single continuous dimension. The formal implication: the relationship between beauty and ugliness is not one of absence but of inversion on a single axis. What neuroaesthetics does not provide is an account of what object-side property the mOFC is computing. The data locates where beauty is encoded; it is silent on what structural property of the object activates that encoding. The Constitutive Beauty Formula occupies that gap.</w:t>
      </w:r>
    </w:p>
    <w:p>
      <w:pPr>
        <w:pStyle w:val="Heading2"/>
        <w:spacing w:after="140" w:before="220"/>
      </w:pPr>
      <w:r>
        <w:rPr>
          <w:rFonts w:ascii="Palatino Linotype" w:cs="Palatino Linotype" w:eastAsia="Palatino Linotype" w:hAnsi="Palatino Linotype"/>
        </w:rPr>
        <w:t xml:space="preserve">2.4  The fractal dimension evidence — the first numerical anchor</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most precise quantitative finding in empirical aesthetics is the universal preference for mid-range fractal dimension. Research by Spehar, Taylor, and colleagues has established consistent aesthetic preference across fractal images regardless of generation method — the preferred FD range is consistently 1.3 to 1.5:</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Domain</w:t>
            </w:r>
          </w:p>
        </w:tc>
        <w:tc>
          <w:tcPr>
            <w:tcW w:type="dxa" w:w="6026"/>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Finding</w:t>
            </w:r>
          </w:p>
        </w:tc>
      </w:tr>
      <w:tr>
        <w:tc>
          <w:tcPr>
            <w:tcW w:type="dxa" w:w="3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Natural scenes</w:t>
            </w:r>
          </w:p>
        </w:tc>
        <w:tc>
          <w:tcPr>
            <w:tcW w:type="dxa" w:w="60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Preferred FD range 1.3–1.5 (Hagerhall et al., 2004)</w:t>
            </w:r>
          </w:p>
        </w:tc>
      </w:tr>
      <w:tr>
        <w:tc>
          <w:tcPr>
            <w:tcW w:type="dxa" w:w="3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Mathematical fractals</w:t>
            </w:r>
          </w:p>
        </w:tc>
        <w:tc>
          <w:tcPr>
            <w:tcW w:type="dxa" w:w="60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Preferred FD range 1.3–1.5 (Spehar et al., 2003)</w:t>
            </w:r>
          </w:p>
        </w:tc>
      </w:tr>
      <w:tr>
        <w:tc>
          <w:tcPr>
            <w:tcW w:type="dxa" w:w="3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Jackson Pollock paintings</w:t>
            </w:r>
          </w:p>
        </w:tc>
        <w:tc>
          <w:tcPr>
            <w:tcW w:type="dxa" w:w="60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FD range 1.3–1.5; Pollock tuned his FD deliberately (Taylor, 1999)</w:t>
            </w:r>
          </w:p>
        </w:tc>
      </w:tr>
      <w:tr>
        <w:tc>
          <w:tcPr>
            <w:tcW w:type="dxa" w:w="3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Landscape silhouettes</w:t>
            </w:r>
          </w:p>
        </w:tc>
        <w:tc>
          <w:tcPr>
            <w:tcW w:type="dxa" w:w="60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Preferred FD 1.3–1.5 (Hagerhall et al., 2004)</w:t>
            </w:r>
          </w:p>
        </w:tc>
      </w:tr>
      <w:tr>
        <w:tc>
          <w:tcPr>
            <w:tcW w:type="dxa" w:w="3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Computer-generated fractals</w:t>
            </w:r>
          </w:p>
        </w:tc>
        <w:tc>
          <w:tcPr>
            <w:tcW w:type="dxa" w:w="60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Preferred FD approximately 1.3 (Aks &amp; Sprott, 1996)</w:t>
            </w:r>
          </w:p>
        </w:tc>
      </w:tr>
    </w:tbl>
    <w:p>
      <w:pPr>
        <w:spacing w:after="12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convergence of FD 1.3–1.5 across domains sharing no medium, cultural convention, or production process is strong evidence that this range corresponds to an objective structural property. Section IV.4 formally identifies that property as the intermediate Kolmogorov compressibility regime and derives the connection analytically with explicit equations.</w:t>
      </w:r>
    </w:p>
    <w:p>
      <w:pPr>
        <w:pStyle w:val="Heading2"/>
        <w:spacing w:after="140" w:before="220"/>
      </w:pPr>
      <w:r>
        <w:rPr>
          <w:rFonts w:ascii="Palatino Linotype" w:cs="Palatino Linotype" w:eastAsia="Palatino Linotype" w:hAnsi="Palatino Linotype"/>
        </w:rPr>
        <w:t xml:space="preserve">2.5  The physics and mathematics tradition — beauty as instrument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Paul Dirac asserted that it is more important to have beauty in equations than to have them fit experiment. Richard Feynman wrote that you can recognise truth by its beauty and simplicity. Roger Penrose held that a beautiful idea has a much greater chance of being correct. Hermann Weyl, when forced to choose between truth and beauty, usually chose beauty — and was frequently vindicated. Dirac explicitly acknowledged that mathematical beauty cannot be formally defined — and then continued to deploy beauty as his primary truth-detection instrument. This is the tradition's deepest silence: beauty is used as an instrument whose mechanism is formally unknown. Section IX provides the initial derivation of that mechanism and explicitly addresses whether it extends beyond physics to paintings, music, and faces.</w:t>
      </w:r>
    </w:p>
    <w:p>
      <w:pPr>
        <w:pStyle w:val="Heading2"/>
        <w:spacing w:after="140" w:before="220"/>
      </w:pPr>
      <w:r>
        <w:rPr>
          <w:rFonts w:ascii="Palatino Linotype" w:cs="Palatino Linotype" w:eastAsia="Palatino Linotype" w:hAnsi="Palatino Linotype"/>
        </w:rPr>
        <w:t xml:space="preserve">2.6  Summary — the negative space</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Negative space</w:t>
            </w:r>
          </w:p>
        </w:tc>
        <w:tc>
          <w:tcPr>
            <w:tcW w:type="dxa" w:w="6426"/>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Specification</w:t>
            </w:r>
          </w:p>
        </w:tc>
      </w:tr>
      <w:tr>
        <w:tc>
          <w:tcPr>
            <w:tcW w:type="dxa" w:w="2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No structural derivation</w:t>
            </w:r>
          </w:p>
        </w:tc>
        <w:tc>
          <w:tcPr>
            <w:tcW w:type="dxa" w:w="6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No tradition has formally derived what object configuration produces beauty, independently of the perceiver</w:t>
            </w:r>
          </w:p>
        </w:tc>
      </w:tr>
      <w:tr>
        <w:tc>
          <w:tcPr>
            <w:tcW w:type="dxa" w:w="26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No k* specification</w:t>
            </w:r>
          </w:p>
        </w:tc>
        <w:tc>
          <w:tcPr>
            <w:tcW w:type="dxa" w:w="6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The optimal tension constant has been gesturally identified but never formally derived with explicit equations</w:t>
            </w:r>
          </w:p>
        </w:tc>
      </w:tr>
      <w:tr>
        <w:tc>
          <w:tcPr>
            <w:tcW w:type="dxa" w:w="2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No perceiver variable</w:t>
            </w:r>
          </w:p>
        </w:tc>
        <w:tc>
          <w:tcPr>
            <w:tcW w:type="dxa" w:w="6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No tradition formally accounts for variation in perceiver bandwidth — the same object generates different responses in different observers without this entailing that beauty is subjective</w:t>
            </w:r>
          </w:p>
        </w:tc>
      </w:tr>
      <w:tr>
        <w:tc>
          <w:tcPr>
            <w:tcW w:type="dxa" w:w="26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No cross-domain unification</w:t>
            </w:r>
          </w:p>
        </w:tc>
        <w:tc>
          <w:tcPr>
            <w:tcW w:type="dxa" w:w="6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The fractal, neural, physical, and philosophical evidence has never been formally unified under one set of propositions</w:t>
            </w:r>
          </w:p>
        </w:tc>
      </w:tr>
      <w:tr>
        <w:tc>
          <w:tcPr>
            <w:tcW w:type="dxa" w:w="2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No inversion theorem</w:t>
            </w:r>
          </w:p>
        </w:tc>
        <w:tc>
          <w:tcPr>
            <w:tcW w:type="dxa" w:w="6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Ugliness has never been derived as the formal inverse of beauty — or as the phenomenology of a broken compression promise</w:t>
            </w:r>
          </w:p>
        </w:tc>
      </w:tr>
      <w:tr>
        <w:tc>
          <w:tcPr>
            <w:tcW w:type="dxa" w:w="26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No variable operationalisation</w:t>
            </w:r>
          </w:p>
        </w:tc>
        <w:tc>
          <w:tcPr>
            <w:tcW w:type="dxa" w:w="6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 I, and T have never been operationalised concretely across visual, auditory, and mathematical domains</w:t>
            </w:r>
          </w:p>
        </w:tc>
      </w:tr>
      <w:tr>
        <w:tc>
          <w:tcPr>
            <w:tcW w:type="dxa" w:w="2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Beauty–truth identity</w:t>
            </w:r>
          </w:p>
        </w:tc>
        <w:tc>
          <w:tcPr>
            <w:tcW w:type="dxa" w:w="6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The reliable capacity of aesthetic criteria to detect structural truth has never received a structural derivation — nor has its scope beyond formal science been determined</w:t>
            </w:r>
          </w:p>
        </w:tc>
      </w:tr>
    </w:tbl>
    <w:p>
      <w:pPr>
        <w:spacing w:after="160"/>
      </w:pPr>
    </w:p>
    <w:p>
      <w:pPr>
        <w:pStyle w:val="Heading1"/>
        <w:spacing w:after="140" w:before="320"/>
      </w:pPr>
      <w:r>
        <w:rPr>
          <w:rFonts w:ascii="Palatino Linotype" w:cs="Palatino Linotype" w:eastAsia="Palatino Linotype" w:hAnsi="Palatino Linotype"/>
        </w:rPr>
        <w:t xml:space="preserve">III.  The Silent Assumption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Every tradition surveyed shares one foundational assumption stated as definition rather than examined as claim: beauty is relational. It is produced by the interaction between a structured object and a perceiving subject. Hume makes this explicit. Kant makes it the formal condition of aesthetic judgement. Birkhoff assumes it by defining M as a measure of aesthetic preference rather than a measure of object structure. Zeki investigates the perceiver's brain without specifying the object-side configuration.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relational assumption is held without examination because it appears to be confirmed by two observations: (1) aesthetic preferences vary across individuals and cultures; and (2) the same object can seem beautiful to one observer and not to another. These observations are real. The question is whether they entail the relational thesis — or whether they are compatible with a constitutive thesis in which the object has a fixed beauty property and the variation is variation in the detector's calibration.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colour-perception analogy is instructive. Colour is a property of surfaces — their spectral reflectance — not a property of the interaction between surfaces and perceivers. Individual variation in colour perception does not entail that colour is relational. It entails that colour-detecting systems vary in their calibration. The same analysis is available for beauty: individual and cultural variation in aesthetic response may indicate variation in the calibration of beauty-detectors, not variation in the beauty of objects. Section VI formalises this as the Subject Resolution Variable.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One further consideration is decisive. The relational thesis predicts that there is no fact of the matter about which of two conflicting aesthetic judgements is correct — they are both reports of subjective states. But this prediction conflicts directly with the behaviour of experts in every aesthetic domain. Architects, composers, mathematicians, and physicists routinely treat aesthetic judgements as subject to rational correction and as tracking something real. The constitutive thesis explains this: aesthetic disagreements are disagreements about an objective structural property, and some detectors are better calibrated than others. The relational thesis cannot explain why aesthetic expertise exists as a genuine cognitive achievement rather than a mere preference.</w:t>
      </w:r>
    </w:p>
    <w:p>
      <w:pPr>
        <w:spacing w:after="80"/>
      </w:pPr>
    </w:p>
    <w:p>
      <w:pPr>
        <w:pStyle w:val="Heading1"/>
        <w:spacing w:after="140" w:before="320"/>
      </w:pPr>
      <w:r>
        <w:rPr>
          <w:rFonts w:ascii="Palatino Linotype" w:cs="Palatino Linotype" w:eastAsia="Palatino Linotype" w:hAnsi="Palatino Linotype"/>
        </w:rPr>
        <w:t xml:space="preserve">IV.  The Compositional Inversion and Formal Architecture</w:t>
      </w:r>
    </w:p>
    <w:p>
      <w:pPr>
        <w:pStyle w:val="Heading2"/>
        <w:spacing w:after="140" w:before="220"/>
      </w:pPr>
      <w:r>
        <w:rPr>
          <w:rFonts w:ascii="Palatino Linotype" w:cs="Palatino Linotype" w:eastAsia="Palatino Linotype" w:hAnsi="Palatino Linotype"/>
        </w:rPr>
        <w:t xml:space="preserve">4.1  The inversion stated</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Replace the relational claim — beauty is produced by the interaction between object and perceiver — with the constitutive claim:</w:t>
      </w:r>
    </w:p>
    <w:p>
      <w:pPr>
        <w:spacing w:after="120" w:before="120" w:line="264"/>
        <w:ind w:left="720" w:right="720"/>
        <w:jc w:val="both"/>
      </w:pPr>
      <w:r>
        <w:rPr>
          <w:rFonts w:ascii="Palatino Linotype" w:cs="Palatino Linotype" w:eastAsia="Palatino Linotype" w:hAnsi="Palatino Linotype"/>
          <w:i/>
          <w:iCs/>
          <w:color w:val="333333"/>
          <w:sz w:val="19"/>
          <w:szCs w:val="19"/>
        </w:rPr>
        <w:t xml:space="preserve">Beauty is a structural configuration of an object that nervous systems with sufficient complexity have evolved to detect, because that configuration reliably indicates the presence of deep structural order in the environment.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is not a subjectivist claim and not a Platonic idealist claim. It is a third position: beauty is a property of physical objects, specifiable in structural terms, that is detected by evolved biological and cognitive systems. The perceiver detects beauty; the perceiver does not constitute it.</w:t>
      </w:r>
    </w:p>
    <w:p>
      <w:pPr>
        <w:pStyle w:val="Heading2"/>
        <w:spacing w:after="140" w:before="220"/>
      </w:pPr>
      <w:r>
        <w:rPr>
          <w:rFonts w:ascii="Palatino Linotype" w:cs="Palatino Linotype" w:eastAsia="Palatino Linotype" w:hAnsi="Palatino Linotype"/>
        </w:rPr>
        <w:t xml:space="preserve">4.2  Three immediate consequences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Three consequences follow directly from the compositional inversion, without requiring additional premises.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First: cross-species aesthetic preferences become predicted. If beauty is a structural configuration that evolved nervous systems detect, then any evolved nervous system — avian, mammalian, human — should converge on similar beauty preferences when exposed to the same configurations. This is confirmed by bower-bird constructions, universal facial symmetry preferences across mammalian species, and bird song complexity preferences.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Second: the beauty–truth identity in physics becomes explicable in principle. If physicists' nervous systems are calibrated to detect the structural configurations that constitute beauty, and those configurations are the same configurations that indicate deep organisational principles in formal systems, then using aesthetic criteria to identify true theories is epistemically rational, not mystical. Section IX provides the initial formal derivation.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Third: the fractal dimension preference becomes derivable. The 1.3–1.5 FD range corresponds to the complexity of natural environments in which human nervous systems evolved. Evolved detectors calibrated to that environment will find the corresponding structural configurations beautiful not because beauty is subjective but because the detectors were built to respond to that configuration. Section IV.4 provides the formal derivation.</w:t>
      </w:r>
    </w:p>
    <w:p>
      <w:pPr>
        <w:pStyle w:val="Heading2"/>
        <w:spacing w:after="140" w:before="220"/>
      </w:pPr>
      <w:r>
        <w:rPr>
          <w:rFonts w:ascii="Palatino Linotype" w:cs="Palatino Linotype" w:eastAsia="Palatino Linotype" w:hAnsi="Palatino Linotype"/>
        </w:rPr>
        <w:t xml:space="preserve">4.3  The Constitutive Beauty Formula</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We propose the following formal architecture for beauty:</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 = f(S, I, T)</w:t>
            </w:r>
          </w:p>
          <w:p>
            <w:pPr>
              <w:spacing w:after="0"/>
              <w:jc w:val="center"/>
            </w:pPr>
            <w:r>
              <w:rPr>
                <w:rFonts w:ascii="Palatino Linotype" w:cs="Palatino Linotype" w:eastAsia="Palatino Linotype" w:hAnsi="Palatino Linotype"/>
                <w:i/>
                <w:iCs/>
                <w:color w:val="555555"/>
                <w:sz w:val="17"/>
                <w:szCs w:val="17"/>
              </w:rPr>
              <w:t xml:space="preserve">B = beauty · S = structural symmetry · I = information density · T = tension between S and I</w:t>
            </w:r>
          </w:p>
        </w:tc>
        <w:tc>
          <w:tcPr>
            <w:tcW w:type="dxa" w:w="1400"/>
            <w:tcBorders>
              <w:top w:val="none" w:color="FFFFFF" w:sz="0"/>
              <w:left w:val="none" w:color="FFFFFF" w:sz="0"/>
              <w:bottom w:val="none" w:color="FFFFFF" w:sz="0"/>
              <w:right w:val="none" w:color="FFFFFF" w:sz="0"/>
            </w:tcBorders>
          </w:tcPr>
          <w:p>
            <w:pPr>
              <w:spacing w:after="0"/>
            </w:pPr>
          </w:p>
        </w:tc>
      </w:tr>
    </w:tbl>
    <w:p>
      <w:pPr>
        <w:spacing w:after="12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B is maximal not when S is maximal (fully symmetric, fully ordered — sterile) nor when I is maximal (fully complex, fully disordered — chaotic), but when the tension T between S and I is at a specific optimal value:</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 is maximal when dI/dS ≈ k*</w:t>
            </w:r>
          </w:p>
          <w:p>
            <w:pPr>
              <w:spacing w:after="0"/>
              <w:jc w:val="center"/>
            </w:pPr>
            <w:r>
              <w:rPr>
                <w:rFonts w:ascii="Palatino Linotype" w:cs="Palatino Linotype" w:eastAsia="Palatino Linotype" w:hAnsi="Palatino Linotype"/>
                <w:i/>
                <w:iCs/>
                <w:color w:val="555555"/>
                <w:sz w:val="17"/>
                <w:szCs w:val="17"/>
              </w:rPr>
              <w:t xml:space="preserve">beauty peaks at the rate of informational change per unit of symmetry corresponding to k*</w:t>
            </w:r>
          </w:p>
        </w:tc>
        <w:tc>
          <w:tcPr>
            <w:tcW w:type="dxa" w:w="1400"/>
            <w:tcBorders>
              <w:top w:val="none" w:color="FFFFFF" w:sz="0"/>
              <w:left w:val="none" w:color="FFFFFF" w:sz="0"/>
              <w:bottom w:val="none" w:color="FFFFFF" w:sz="0"/>
              <w:right w:val="none" w:color="FFFFFF" w:sz="0"/>
            </w:tcBorders>
          </w:tcPr>
          <w:p>
            <w:pPr>
              <w:spacing w:after="0"/>
            </w:pPr>
          </w:p>
        </w:tc>
      </w:tr>
    </w:tbl>
    <w:p>
      <w:pPr>
        <w:spacing w:after="12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constant k* is not arbitrary. Section IV.4 provides its formal derivation with explicit equations.</w:t>
      </w:r>
    </w:p>
    <w:p>
      <w:pPr>
        <w:pStyle w:val="Heading2"/>
        <w:spacing w:after="140" w:before="220"/>
      </w:pPr>
      <w:r>
        <w:rPr>
          <w:rFonts w:ascii="Palatino Linotype" w:cs="Palatino Linotype" w:eastAsia="Palatino Linotype" w:hAnsi="Palatino Linotype"/>
        </w:rPr>
        <w:t xml:space="preserve">4.4  Formal derivation of k* — Kolmogorov specification with explicit equations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Kolmogorov complexity K(x) of a string x is the length of its shortest description in a fixed universal Turing machine language (Kolmogorov, 1965): K(x) = min{|p| : U(p) = x}, where U is a universal prefix-free Turing machine and |p| is the length in bits of program p. This quantity is language-independent up to a constant and applies to any computable object regardless of physical substrate.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Define the compressibility ratio ρ(x) = K(x) / |x|, where |x| is the length of the object's full description in bits. A maximally symmetric object (perfect grid) has ρ → 0: highly compressible. A maximally random object (pure noise) has ρ → 1: incompressible.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Optimal Compressibility Theorem</w:t>
            </w:r>
          </w:p>
          <w:p>
            <w:pPr>
              <w:spacing w:after="0" w:line="264"/>
              <w:jc w:val="both"/>
            </w:pPr>
            <w:r>
              <w:rPr>
                <w:rFonts w:ascii="Palatino Linotype" w:cs="Palatino Linotype" w:eastAsia="Palatino Linotype" w:hAnsi="Palatino Linotype"/>
                <w:color w:val="1C1C1C"/>
                <w:sz w:val="19"/>
                <w:szCs w:val="19"/>
              </w:rPr>
              <w:t xml:space="preserve">B is maximal at ρ*(x) = K(x)/|x| ∈ (ρ_low, ρ_high), where ρ_low and ρ_high correspond to the Kolmogorov complexity bounds of the naturally evolved visual environment. For the human visual system, this corresponds to FD* ∈ [1.3, 1.5].</w:t>
            </w:r>
          </w:p>
        </w:tc>
      </w:tr>
    </w:tbl>
    <w:p>
      <w:pPr>
        <w:spacing w:after="8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proof proceeds in three steps, each with explicit equations.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Step 1 — The FD-compressibility correspondence. For a self-similar fractal image rendered at N × N pixels (total |x| = N² bits), the Kolmogorov complexity is bounded by the minimum program length needed to generate all patterns at all scales:</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K(x) ≈ C · N^(D/2) · log N</w:t>
            </w:r>
          </w:p>
          <w:p>
            <w:pPr>
              <w:spacing w:after="0"/>
              <w:jc w:val="center"/>
            </w:pPr>
            <w:r>
              <w:rPr>
                <w:rFonts w:ascii="Palatino Linotype" w:cs="Palatino Linotype" w:eastAsia="Palatino Linotype" w:hAnsi="Palatino Linotype"/>
                <w:i/>
                <w:iCs/>
                <w:color w:val="555555"/>
                <w:sz w:val="17"/>
                <w:szCs w:val="17"/>
              </w:rPr>
              <w:t xml:space="preserve">C = encoding constant · D = Hausdorff dimension</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gives the compressibility ratio:</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ρ(x) = K(x)/N² ≈ C · N^(D/2−2) · log N</w:t>
            </w:r>
          </w:p>
          <w:p>
            <w:pPr>
              <w:spacing w:after="0"/>
              <w:jc w:val="center"/>
            </w:pPr>
            <w:r>
              <w:rPr>
                <w:rFonts w:ascii="Palatino Linotype" w:cs="Palatino Linotype" w:eastAsia="Palatino Linotype" w:hAnsi="Palatino Linotype"/>
                <w:i/>
                <w:iCs/>
                <w:color w:val="555555"/>
                <w:sz w:val="17"/>
                <w:szCs w:val="17"/>
              </w:rPr>
              <w:t xml:space="preserve">for large N: ρ → 0 as D → 0 (fully compressible); ρ → 1 as D → 2 (incompressible)</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For D = 1.0 (straight line), K ∝ N^(−0.5) log N per pixel — highly compressible. For D = 2.0 (approaching noise), K ∝ N^0 log N per pixel — approaching incompressibility. For D ∈ [1.3, 1.5], K ∝ N^(−0.35 to −0.25) log N per pixel — the intermediate compressibility regime.</w:t>
      </w:r>
    </w:p>
    <w:p>
      <w:pPr>
        <w:spacing w:after="80" w:before="60" w:line="252"/>
        <w:ind w:left="360"/>
        <w:jc w:val="both"/>
      </w:pPr>
      <w:r>
        <w:rPr>
          <w:rFonts w:ascii="Palatino Linotype" w:cs="Palatino Linotype" w:eastAsia="Palatino Linotype" w:hAnsi="Palatino Linotype"/>
          <w:color w:val="555555"/>
          <w:sz w:val="17"/>
          <w:szCs w:val="17"/>
        </w:rPr>
        <w:t xml:space="preserve">Statistical fractal qualification: The empirical stimuli in the aesthetics literature are statistical fractals (approximate self-similarity), not exact mathematical fractals. The equation K(x) ≈ C · N^(D/2) · log N holds in expectation over the ensemble of stimuli with dimension D, with variance decreasing as N increases. The scaling argument is therefore a probabilistic bound rather than a strict equality for any single stimulus, consistent with the spread observed in preference data around the FD 1.3–1.5 mode.</w:t>
      </w:r>
    </w:p>
    <w:p>
      <w:pPr>
        <w:spacing w:after="4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Step 2 — The ecological calibration. Natural visual environments have fractal dimensions in the range 1.3–1.5 (Hagerhall et al., 2004; Spehar et al., 2003), reflecting the statistical structure of surfaces, vegetation, terrain, and atmospheric boundaries in the Pleistocene environments in which human visual systems evolved. The minimum description length (MDL) framework (Rissanen, 1978) provides the theoretical grounding: an optimal coding system assigns code length − log₂ p(x) to stimulus x. A visual system evolved under a distribution with FD ∈ [1.3, 1.5] assigns minimum description length to stimuli in that compressibility range.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Step 3 — The compressibility-beauty bridge. The visual system's efficiency in processing a stimulus at its minimum-description-length compressibility level produces a phenomenological signal. Let E(x) be the coding efficiency defined as E(x) = − log₂ p(x) / K(x). E is maximised when K(x) matches the system's internal model — that is, when x is in the evolved calibration range:</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B(x) ∝ E(x) = −log₂ p(x) / K(x), maximised at ρ*(x)</w:t>
            </w:r>
          </w:p>
          <w:p>
            <w:pPr>
              <w:spacing w:after="0"/>
              <w:jc w:val="center"/>
            </w:pPr>
            <w:r>
              <w:rPr>
                <w:rFonts w:ascii="Palatino Linotype" w:cs="Palatino Linotype" w:eastAsia="Palatino Linotype" w:hAnsi="Palatino Linotype"/>
                <w:i/>
                <w:iCs/>
                <w:color w:val="555555"/>
                <w:sz w:val="17"/>
                <w:szCs w:val="17"/>
              </w:rPr>
              <w:t xml:space="preserve">beauty as coding efficiency at the optimal compressibility regime</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k* is therefore not arbitrary — it is determined by the fractal statistics of the Pleistocene visual environment, which are independently measurable. This connects k* directly to the ecological calibration of the human visual system.</w:t>
      </w:r>
    </w:p>
    <w:p>
      <w:pPr>
        <w:pStyle w:val="Heading2"/>
        <w:spacing w:after="140" w:before="220"/>
      </w:pPr>
      <w:r>
        <w:rPr>
          <w:rFonts w:ascii="Palatino Linotype" w:cs="Palatino Linotype" w:eastAsia="Palatino Linotype" w:hAnsi="Palatino Linotype"/>
        </w:rPr>
        <w:t xml:space="preserve">4.5  The Ugliness Inversion Theorem — beauty as compression promise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neuroaesthetic finding that beauty and ugliness are encoded on a single continuous axis permits a formal derivation of the relationship between them. If B is the constitutive beauty property and T is the tension variable that constitutes it, then removing T — collapsing the tension by driving the object toward either extreme — does not reduce B to zero. It inverts B:</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 − T = −B</w:t>
            </w:r>
          </w:p>
          <w:p>
            <w:pPr>
              <w:spacing w:after="0"/>
              <w:jc w:val="center"/>
            </w:pPr>
            <w:r>
              <w:rPr>
                <w:rFonts w:ascii="Palatino Linotype" w:cs="Palatino Linotype" w:eastAsia="Palatino Linotype" w:hAnsi="Palatino Linotype"/>
                <w:i/>
                <w:iCs/>
                <w:color w:val="555555"/>
                <w:sz w:val="17"/>
                <w:szCs w:val="17"/>
              </w:rPr>
              <w:t xml:space="preserve">Ugliness Inversion Theorem: removing the constitutive tension inverts beauty into ugliness</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Ugliness Inversion Theorem</w:t>
            </w:r>
          </w:p>
          <w:p>
            <w:pPr>
              <w:spacing w:after="0" w:line="264"/>
              <w:jc w:val="both"/>
            </w:pPr>
            <w:r>
              <w:rPr>
                <w:rFonts w:ascii="Palatino Linotype" w:cs="Palatino Linotype" w:eastAsia="Palatino Linotype" w:hAnsi="Palatino Linotype"/>
                <w:color w:val="1C1C1C"/>
                <w:sz w:val="19"/>
                <w:szCs w:val="19"/>
              </w:rPr>
              <w:t xml:space="preserve">For any aesthetic object x with beauty value B(x) &gt; 0 constituted by tension T(x): B(x) − T(x) = −B(x). Consequence: at the extremes of the compressibility spectrum (ρ → 0 or ρ → 1), the beauty response does not decay to zero but becomes negative — actively aversive — with magnitude equal to B(x). Ugliness is not the absence of beauty. It is beauty's structural inverse.</w:t>
            </w:r>
          </w:p>
        </w:tc>
      </w:tr>
    </w:tbl>
    <w:p>
      <w:pPr>
        <w:spacing w:after="10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theorem admits a second, deeper characterisation that sharpens its empirical content. An ugly object is not simply disordered — it is an object that promises a compression it fails to deliver. Ugliness is a broken compression promise: the nervous system detects sufficient structural regularity to initiate a k*-level parsing operation, but the object does not sustain the information density required to complete it. The cognitive system is engaged and left without resolution. This is why pure randomness is not maximally ugly — it never initiates the promise. The actively aversive response is specific to objects that begin the structural recognition process and then systematically betray it. This prediction is testable: objects rated as most ugly should score higher on initiated-but-failed compression attempts than objects rated as merely neutral or uninteresting.</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reframing also sharpens the mOFC data interpretation. The active negative response (amygdala/insula activation, mOFC suppression) at high ugliness is the neural signature of a prediction-error cascade — not the absence of beauty but its inversion, driven by the gap between structural promise and structural delivery.</w:t>
      </w:r>
    </w:p>
    <w:p>
      <w:pPr>
        <w:spacing w:after="80"/>
      </w:pPr>
    </w:p>
    <w:p>
      <w:pPr>
        <w:pStyle w:val="Heading1"/>
        <w:spacing w:after="140" w:before="320"/>
      </w:pPr>
      <w:r>
        <w:rPr>
          <w:rFonts w:ascii="Palatino Linotype" w:cs="Palatino Linotype" w:eastAsia="Palatino Linotype" w:hAnsi="Palatino Linotype"/>
        </w:rPr>
        <w:t xml:space="preserve">V.  Five-Discipline Cross-Confirmation and Variable Operationalisation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constitutive hypothesis is confirmed independently across five distinct disciplines. The confirmation is structural: in each case, the independent finding predicts the formal architecture rather than merely being consistent with it. This section also provides concrete operationalisation of S, I, and T for each domain.</w:t>
      </w:r>
    </w:p>
    <w:p>
      <w:pPr>
        <w:pStyle w:val="Heading2"/>
        <w:spacing w:after="140" w:before="220"/>
      </w:pPr>
      <w:r>
        <w:rPr>
          <w:rFonts w:ascii="Palatino Linotype" w:cs="Palatino Linotype" w:eastAsia="Palatino Linotype" w:hAnsi="Palatino Linotype"/>
        </w:rPr>
        <w:t xml:space="preserve">5.1  Physics: symmetry, symmetry-breaking, and the Kolmogorov link</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Modern physics identifies symmetry as the deepest structural principle of physical reality. Noether's theorem (1915) establishes that every continuous symmetry corresponds to a conserved quantity. The Standard Model is organised around gauge symmetry. What physicists call beauty in equations is, on examination, the presence of deep symmetry with productive internal structure. Critically: pure symmetry generates nothing. All physical structure emerges from symmetry breaking. The universe's most productive configurations are those in which a deep symmetry is present but locally broken — precisely the physics echo of B = f(S, I, 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Operationalisation for physical theories: S = the dimension of the theory's symmetry group (gauge group rank); I = the number of independent empirical predictions the theory generates; T = the ratio I/S. A beautiful theory in physics is one with a high T value — many predictions from a compact symmetry structure.</w:t>
      </w:r>
    </w:p>
    <w:p>
      <w:pPr>
        <w:pStyle w:val="Heading2"/>
        <w:spacing w:after="140" w:before="220"/>
      </w:pPr>
      <w:r>
        <w:rPr>
          <w:rFonts w:ascii="Palatino Linotype" w:cs="Palatino Linotype" w:eastAsia="Palatino Linotype" w:hAnsi="Palatino Linotype"/>
        </w:rPr>
        <w:t xml:space="preserve">5.2  Biology: evolutionary aesthetics and the fractal environment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Evolutionary aesthetics holds that aesthetic preferences were shaped by natural selection to detect configurations correlated with fitness-relevant environmental properties. Human visual systems evolved in natural environments with FD ≈ 1.3–1.5 and find that range beautiful. The beauty-signal is the detection-signal — the experience of beauty is the phenomenology of successful structural recognition at the system's calibration optimum.</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Operationalisation for visual stimuli: S = fractal dimension D (box-counting or power-spectrum methods); I = residual information content after best-fit fractal model is subtracted; T = I/S, the ratio of non-redundant to redundant information. k* ≈ FD 1.3–1.5 as derived in Section IV.4.</w:t>
      </w:r>
    </w:p>
    <w:p>
      <w:pPr>
        <w:pStyle w:val="Heading2"/>
        <w:spacing w:after="140" w:before="220"/>
      </w:pPr>
      <w:r>
        <w:rPr>
          <w:rFonts w:ascii="Palatino Linotype" w:cs="Palatino Linotype" w:eastAsia="Palatino Linotype" w:hAnsi="Palatino Linotype"/>
        </w:rPr>
        <w:t xml:space="preserve">5.3  Neuroscience: the mOFC beauty axis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mOFC cross-modal universality — the same neural axis encoding beauty across visual, auditory, and conceptual domains — is predicted by the formula: any domain in which S-I tension is computable will activate the same neural axis. This means S and I cannot be medium-specific quantities (pixel patterns, frequency spectra). They must be abstract structural properties computable from any medium. Kolmogorov complexity is precisely such a medium-independent quantity. This is strong independent evidence that the Kolmogorov specification of k* is tracking the right level of abstraction.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Operationalisation for auditory stimuli: S = the degree of periodic structure in the frequency spectrum (autocorrelation peak strength); I = the spectral entropy of the residual after the periodic model is subtracted; T = I/S. For natural soundscapes, the power spectrum follows a 1/f distribution — the acoustic analogue of FD 1.3–1.5. Auditory beauty peaks at 1/f spectra, confirmed by existing music perception research (Voss &amp; Clarke, 1975).</w:t>
      </w:r>
    </w:p>
    <w:p>
      <w:pPr>
        <w:pStyle w:val="Heading2"/>
        <w:spacing w:after="140" w:before="220"/>
      </w:pPr>
      <w:r>
        <w:rPr>
          <w:rFonts w:ascii="Palatino Linotype" w:cs="Palatino Linotype" w:eastAsia="Palatino Linotype" w:hAnsi="Palatino Linotype"/>
        </w:rPr>
        <w:t xml:space="preserve">5.4  Information theory: optimal compressibility and Zipf's law</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Zipf's law — the statistical distribution of word frequencies in natural language, note frequencies in music, and species abundances in ecosystems — is a signature of the intermediate compressibility regime. It is found everywhere that beauty is found, and at the same structural level. The Zipf distribution is the statistical signature of the optimal S-I tension.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Operationalisation for linguistic and musical stimuli: S = the Zipf exponent α of the frequency distribution (degree of regularity); I = the KL divergence from the best-fit Zipf distribution; T = I · α. A text or composition with α ≈ 1.0 and low KL divergence is at the sweet spot. Deviations in either direction — pure regularity (α → ∞) or pure randomness (uniform distribution, α → 0) — predict reduced beauty, consistent with experimental findings on musical expectation and linguistic aesthetics.</w:t>
      </w:r>
    </w:p>
    <w:p>
      <w:pPr>
        <w:pStyle w:val="Heading2"/>
        <w:spacing w:after="140" w:before="220"/>
      </w:pPr>
      <w:r>
        <w:rPr>
          <w:rFonts w:ascii="Palatino Linotype" w:cs="Palatino Linotype" w:eastAsia="Palatino Linotype" w:hAnsi="Palatino Linotype"/>
        </w:rPr>
        <w:t xml:space="preserve">5.5  Chemistry: molecular beauty as structural truth</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Molecular structures consistently described as beautiful — the DNA double helix, the benzene ring, protein folding patterns, crystal lattices — share a common structural property: regularities at multiple scales (symmetry) with sufficient internal variation (information density) to encode function. The DNA helix is beautiful not as decoration but because its structure is the information — the symmetry carries the molecular mechanism.</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Operationalisation for molecular structures: S = the order of the molecule's point group symmetry; I = the number of distinct functional groups that break the full symmetry (the symmetry defect count); T = I/S. The benzene ring (D6h point group, S = 12) has T = 0 for the unsubstituted molecule; functional substitution raises T. Amino acid folding in proteins exhibits high T values corresponding to the balance between secondary structure regularity (α-helices, β-sheets) and the specificity of functional active sites.</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600"/>
        <w:gridCol w:w="3000"/>
        <w:gridCol w:w="4426"/>
      </w:tblGrid>
      <w:tr>
        <w:tc>
          <w:tcPr>
            <w:tcW w:type="dxa" w:w="16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Discipline</w:t>
            </w:r>
          </w:p>
        </w:tc>
        <w:tc>
          <w:tcPr>
            <w:tcW w:type="dxa" w:w="30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Confirmation of B = f(S, I, T)</w:t>
            </w:r>
          </w:p>
        </w:tc>
        <w:tc>
          <w:tcPr>
            <w:tcW w:type="dxa" w:w="4426"/>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Operationalisation of S, I, T</w:t>
            </w:r>
          </w:p>
        </w:tc>
      </w:tr>
      <w:tr>
        <w:tc>
          <w:tcPr>
            <w:tcW w:type="dxa" w:w="1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Physics</w:t>
            </w:r>
          </w:p>
        </w:tc>
        <w:tc>
          <w:tcPr>
            <w:tcW w:type="dxa" w:w="3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Symmetry+breaking; physicists detect gauge symmetry via aesthetics; Kolmogorov links to gauge theory</w:t>
            </w:r>
          </w:p>
        </w:tc>
        <w:tc>
          <w:tcPr>
            <w:tcW w:type="dxa" w:w="4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 = symmetry group rank; I = prediction count; T = I/S</w:t>
            </w:r>
          </w:p>
        </w:tc>
      </w:tr>
      <w:tr>
        <w:tc>
          <w:tcPr>
            <w:tcW w:type="dxa" w:w="16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Biology</w:t>
            </w:r>
          </w:p>
        </w:tc>
        <w:tc>
          <w:tcPr>
            <w:tcW w:type="dxa" w:w="3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Universal FD 1.3–1.5 preference across cultures and generation methods</w:t>
            </w:r>
          </w:p>
        </w:tc>
        <w:tc>
          <w:tcPr>
            <w:tcW w:type="dxa" w:w="4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 = fractal dimension D; I = residual non-fractal content; T = I/S</w:t>
            </w:r>
          </w:p>
        </w:tc>
      </w:tr>
      <w:tr>
        <w:tc>
          <w:tcPr>
            <w:tcW w:type="dxa" w:w="1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Neuroscience</w:t>
            </w:r>
          </w:p>
        </w:tc>
        <w:tc>
          <w:tcPr>
            <w:tcW w:type="dxa" w:w="3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Single mOFC axis cross-modal — one variable across vision, music, mathematical thought</w:t>
            </w:r>
          </w:p>
        </w:tc>
        <w:tc>
          <w:tcPr>
            <w:tcW w:type="dxa" w:w="4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Constraint: S, I, T must be medium-independent; satisfied by Kolmogorov complexity</w:t>
            </w:r>
          </w:p>
        </w:tc>
      </w:tr>
      <w:tr>
        <w:tc>
          <w:tcPr>
            <w:tcW w:type="dxa" w:w="16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Information theory</w:t>
            </w:r>
          </w:p>
        </w:tc>
        <w:tc>
          <w:tcPr>
            <w:tcW w:type="dxa" w:w="3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Zipf distribution is the signature of optimal S-I tension</w:t>
            </w:r>
          </w:p>
        </w:tc>
        <w:tc>
          <w:tcPr>
            <w:tcW w:type="dxa" w:w="4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 = Zipf exponent α; I = KL divergence from Zipf; T = I · α</w:t>
            </w:r>
          </w:p>
        </w:tc>
      </w:tr>
      <w:tr>
        <w:tc>
          <w:tcPr>
            <w:tcW w:type="dxa" w:w="16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Chemistry</w:t>
            </w:r>
          </w:p>
        </w:tc>
        <w:tc>
          <w:tcPr>
            <w:tcW w:type="dxa" w:w="3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Beautiful molecules encode function via multi-scale regularities</w:t>
            </w:r>
          </w:p>
        </w:tc>
        <w:tc>
          <w:tcPr>
            <w:tcW w:type="dxa" w:w="4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 = point group order; I = symmetry-breaking defect count; T = I/S</w:t>
            </w:r>
          </w:p>
        </w:tc>
      </w:tr>
    </w:tbl>
    <w:p>
      <w:pPr>
        <w:spacing w:after="160"/>
      </w:pPr>
    </w:p>
    <w:p>
      <w:pPr>
        <w:pStyle w:val="Heading1"/>
        <w:spacing w:after="140" w:before="320"/>
      </w:pPr>
      <w:r>
        <w:rPr>
          <w:rFonts w:ascii="Palatino Linotype" w:cs="Palatino Linotype" w:eastAsia="Palatino Linotype" w:hAnsi="Palatino Linotype"/>
        </w:rPr>
        <w:t xml:space="preserve">VI.  The Subject Resolution Variable and the Calibration Asymmetry</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A systematic gap in prior versions of this work — and in every prior theory of beauty — is the absence of a formal variable for perceiver bandwidth. The constitutive thesis holds that beauty is an objective property of objects. But the same object produces different aesthetic responses in different perceivers. This apparent tension is resolved not by retreating to relativism but by introducing a second variable that modulates detection accuracy: the Subject Resolution Variable R_s.</w:t>
      </w:r>
    </w:p>
    <w:p>
      <w:pPr>
        <w:pStyle w:val="Heading2"/>
        <w:spacing w:after="140" w:before="220"/>
      </w:pPr>
      <w:r>
        <w:rPr>
          <w:rFonts w:ascii="Palatino Linotype" w:cs="Palatino Linotype" w:eastAsia="Palatino Linotype" w:hAnsi="Palatino Linotype"/>
        </w:rPr>
        <w:t xml:space="preserve">6.1  Formal definition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Subject Resolution Variable (R_s)</w:t>
            </w:r>
          </w:p>
          <w:p>
            <w:pPr>
              <w:spacing w:after="0" w:line="264"/>
              <w:jc w:val="both"/>
            </w:pPr>
            <w:r>
              <w:rPr>
                <w:rFonts w:ascii="Palatino Linotype" w:cs="Palatino Linotype" w:eastAsia="Palatino Linotype" w:hAnsi="Palatino Linotype"/>
                <w:color w:val="1C1C1C"/>
                <w:sz w:val="19"/>
                <w:szCs w:val="19"/>
              </w:rPr>
              <w:t xml:space="preserve">R_s is the maximum Kolmogorov complexity that a given perceiver's cognitive system can process and compress within a single aesthetic encounter. R_s is determined by: (a) domain-specific training (musical education, mathematical expertise, visual art exposure); (b) cognitive working memory capacity; and (c) attentional resources available at the time of encounter. For any aesthetic object x with complexity K(x): if K(x) ≤ R_s, the perceiver can fully compute the S-I tension and achieve accurate B detection. If K(x) &gt; R_s, the perceiver's system cannot process the full structural content — the object exceeds the perceiver's bandwidth and is experienced as noise, confusion, or indifference rather than beauty.</w:t>
            </w:r>
          </w:p>
        </w:tc>
      </w:tr>
    </w:tbl>
    <w:p>
      <w:pPr>
        <w:spacing w:after="10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R_s does not change the beauty of the object. It changes the accuracy with which the perceiver can detect it. The formula B = f(S, I, T) specifies an objective structural property. R_s specifies the perceiver's current instrument precision. The perceived beauty B_perceived is a function of both:</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B_perceived(x, R_s) = B(x) · φ(K(x), R_s)</w:t>
            </w:r>
          </w:p>
          <w:p>
            <w:pPr>
              <w:spacing w:after="0"/>
              <w:jc w:val="center"/>
            </w:pPr>
            <w:r>
              <w:rPr>
                <w:rFonts w:ascii="Palatino Linotype" w:cs="Palatino Linotype" w:eastAsia="Palatino Linotype" w:hAnsi="Palatino Linotype"/>
                <w:i/>
                <w:iCs/>
                <w:color w:val="555555"/>
                <w:sz w:val="17"/>
                <w:szCs w:val="17"/>
              </w:rPr>
              <w:t xml:space="preserve">where φ is a monotonically increasing function of R_s / K(x), equal to 1 when R_s ≥ K(x)</w:t>
            </w:r>
          </w:p>
        </w:tc>
        <w:tc>
          <w:tcPr>
            <w:tcW w:type="dxa" w:w="1400"/>
            <w:tcBorders>
              <w:top w:val="none" w:color="FFFFFF" w:sz="0"/>
              <w:left w:val="none" w:color="FFFFFF" w:sz="0"/>
              <w:bottom w:val="none" w:color="FFFFFF" w:sz="0"/>
              <w:right w:val="none" w:color="FFFFFF" w:sz="0"/>
            </w:tcBorders>
          </w:tcPr>
          <w:p>
            <w:pPr>
              <w:spacing w:after="0"/>
            </w:pPr>
          </w:p>
        </w:tc>
      </w:tr>
    </w:tbl>
    <w:p>
      <w:pPr>
        <w:spacing w:after="100"/>
      </w:pPr>
    </w:p>
    <w:p>
      <w:pPr>
        <w:pStyle w:val="Heading2"/>
        <w:spacing w:after="140" w:before="220"/>
      </w:pPr>
      <w:r>
        <w:rPr>
          <w:rFonts w:ascii="Palatino Linotype" w:cs="Palatino Linotype" w:eastAsia="Palatino Linotype" w:hAnsi="Palatino Linotype"/>
        </w:rPr>
        <w:t xml:space="preserve">6.2  R_s and the music example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A Bach fugue has a k*-optimal structure — high information density within a compressed generative grammar (the rules of counterpoint). Its true B value is high. A perceiver with low R_s — insufficient musical training to parse the contrapuntal structure — cannot compute the S-I tension accurately. The fugue exceeds their bandwidth. They experience it as undifferentiated complexity, not beauty. A perceiver with high R_s compresses the fugue efficiently and experiences the beauty-signal at full intensity.</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same logic applies inversely to a simple pop song with very high S and very low I. A perceiver with low R_s can compute the tension fully — the structure does not exceed their bandwidth — and experiences the beauty-signal, which is genuine but weak (low T value). A perceiver with high R_s processes the song's full structure almost instantaneously, exhausts its information content, and experiences saturation. The song is not ugly; it is aesthetically thin. Its T value is low regardless of who is listening. R_s determines how much of the T value is accessible, not how much T value exists.</w:t>
      </w:r>
    </w:p>
    <w:p>
      <w:pPr>
        <w:pStyle w:val="Heading2"/>
        <w:spacing w:after="140" w:before="220"/>
      </w:pPr>
      <w:r>
        <w:rPr>
          <w:rFonts w:ascii="Palatino Linotype" w:cs="Palatino Linotype" w:eastAsia="Palatino Linotype" w:hAnsi="Palatino Linotype"/>
        </w:rPr>
        <w:t xml:space="preserve">6.3  The calibration asymmetry — a necessary implication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R_s framework has an implication the theory must state explicitly rather than leave as an inference: aesthetic judgements have accuracy gradients. Some perceivers compute k* more faithfully than others. This is not an elitist claim — it is the same structure as any perceptual skill. A trained sommelier detects chemical compounds in wine that an untrained person cannot detect. The wine does not change; the detection instrument improves.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implication is precise: aesthetic education — musical training, sustained engagement with visual art, mathematical depth — genuinely expands R_s and thereby increases the accuracy with which a person can detect beauty. This explains three empirical regularities that no prior theory has formally derived: (1) experts show higher agreement in aesthetic judgements than novices, because their shared high-R_s systems converge on the same k* values; (2) the same person finds previously 'boring' objects newly beautiful after acquiring the relevant training, because R_s has expanded to process formerly inaccessible structure; (3) exposure to more structurally complex art increases aesthetic sensitivity to simpler forms, because the R_s expansion is general rather than domain-specific.</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calibration asymmetry does not entail a hierarchy of persons. It entails a hierarchy of aesthetic accuracy at a given moment of training. R_s is expandable by any perceiver who engages with structurally demanding objects. The theory implies that aesthetic education is a genuine cognitive development, not a class marker.</w:t>
      </w:r>
    </w:p>
    <w:p>
      <w:pPr>
        <w:pStyle w:val="Heading2"/>
        <w:spacing w:after="140" w:before="220"/>
      </w:pPr>
      <w:r>
        <w:rPr>
          <w:rFonts w:ascii="Palatino Linotype" w:cs="Palatino Linotype" w:eastAsia="Palatino Linotype" w:hAnsi="Palatino Linotype"/>
        </w:rPr>
        <w:t xml:space="preserve">6.4  R_s and cultural variation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Cultural variation in aesthetic preference is explained by two mechanisms operating simultaneously. First, different cultures evolve in different ecological environments, calibrating the baseline k* of their visual systems to different FD distributions — as the cross-species prediction in Section V.2 implies for biological populations, so it implies for culturally differentiated human populations. Second, different cultures develop different aesthetic training traditions, producing systematically different R_s distributions within populations. Both mechanisms are within the constitutive framework: they explain variation without conceding that the object's beauty varies.</w:t>
      </w:r>
    </w:p>
    <w:p>
      <w:pPr>
        <w:spacing w:after="80"/>
      </w:pPr>
    </w:p>
    <w:p>
      <w:pPr>
        <w:pStyle w:val="Heading1"/>
        <w:spacing w:after="140" w:before="320"/>
      </w:pPr>
      <w:r>
        <w:rPr>
          <w:rFonts w:ascii="Palatino Linotype" w:cs="Palatino Linotype" w:eastAsia="Palatino Linotype" w:hAnsi="Palatino Linotype"/>
        </w:rPr>
        <w:t xml:space="preserve">VII.  The Strongest Objections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Method requires that every claim be tested against the strongest available objection, not the weakest. Four objections are engaged formally.</w:t>
      </w:r>
    </w:p>
    <w:p>
      <w:pPr>
        <w:pStyle w:val="Heading2"/>
        <w:spacing w:after="140" w:before="220"/>
      </w:pPr>
      <w:r>
        <w:rPr>
          <w:rFonts w:ascii="Palatino Linotype" w:cs="Palatino Linotype" w:eastAsia="Palatino Linotype" w:hAnsi="Palatino Linotype"/>
        </w:rPr>
        <w:t xml:space="preserve">7.1  Radical subjectivism (Hume)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strongest Humean objection: cross-cultural variation in aesthetic standards is so extensive that no objective property can account for it.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formal response: subjectivism is a special case of the constitutive theory rather than a refutation of it. The constitutive hypothesis predicts variation as a function of variation in detector calibration (Section VI). Two systems calibrated to different environments will find different structural configurations beautiful. The variation is real; it does not entail that beauty is not an objective structural property. Crucially, the theory predicts both variation and invariance simultaneously — variation wherever detector calibration varies, invariance wherever structural properties are universal across evolved environments. The FD 1.3–1.5 preference across cultures confirms the invariance prediction; the relational hypothesis generates no account of why any invariance should exist.</w:t>
      </w:r>
    </w:p>
    <w:p>
      <w:pPr>
        <w:pStyle w:val="Heading2"/>
        <w:spacing w:after="140" w:before="220"/>
      </w:pPr>
      <w:r>
        <w:rPr>
          <w:rFonts w:ascii="Palatino Linotype" w:cs="Palatino Linotype" w:eastAsia="Palatino Linotype" w:hAnsi="Palatino Linotype"/>
        </w:rPr>
        <w:t xml:space="preserve">7.2  Kant's disinterestedness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Kant correctly identifies that the aesthetic experience is cognitively active. The constitutive hypothesis does not deny this. It respecifies what that cognitive work is: the nervous system is computing the optimal tension between symmetry and information density, and the 'free play' Kant identifies is the phenomenology of that computation at intermediate compressibility. This respecification explains why Kant's 'free play' feels precisely like free play: the computation of optimal compressibility requires genuinely open-ended cognitive engagement because the optimal point cannot be read off from any pre-determined rule. Kant was right that aesthetic experience is not conceptual determination; he was wrong that this meant the experience had no objective correlate. The constitutive account specifies that correlate.</w:t>
      </w:r>
    </w:p>
    <w:p>
      <w:pPr>
        <w:pStyle w:val="Heading2"/>
        <w:spacing w:after="140" w:before="220"/>
      </w:pPr>
      <w:r>
        <w:rPr>
          <w:rFonts w:ascii="Palatino Linotype" w:cs="Palatino Linotype" w:eastAsia="Palatino Linotype" w:hAnsi="Palatino Linotype"/>
        </w:rPr>
        <w:t xml:space="preserve">7.3  The ugly-beautiful paradox</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Some of the most powerful aesthetic objects in the human tradition are structurally disordered. Goya's Disasters of War, Beethoven's late quartets, the Laocoön, the ruins of the Roman Forum — widely regarded as among the most beautiful things humans have made, yet involving conflict, dissonance, destruction, and incompleteness.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formal response extends the system rather than dissolving the paradox. When structural disorder is purposeful — when it encodes the trace of an order destroyed, or the struggle of an order attempting to emerge — it generates higher information density than simple order, because the perceiver must reconstruct the absent structure. This is the inversion of the broken compression promise: ruin beauty arises when the object provides enough structural evidence to initiate and complete a reconstruction, generating more information density than the intact object did. Let B_0 be the beauty of the complete object and ΔT(r) be the additional tension generated by reconstruction: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B_post = B_0 + ΔT(reconstruction)</w:t>
            </w:r>
          </w:p>
          <w:p>
            <w:pPr>
              <w:spacing w:after="0"/>
              <w:jc w:val="center"/>
            </w:pPr>
            <w:r>
              <w:rPr>
                <w:rFonts w:ascii="Palatino Linotype" w:cs="Palatino Linotype" w:eastAsia="Palatino Linotype" w:hAnsi="Palatino Linotype"/>
                <w:i/>
                <w:iCs/>
                <w:color w:val="555555"/>
                <w:sz w:val="17"/>
                <w:szCs w:val="17"/>
              </w:rPr>
              <w:t xml:space="preserve">beauty increases when purposeful incompleteness generates active reconstruction</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boundary condition: B_post &gt; B_0 if and only if H(x|r) &lt; H(x|c) — the remnant constrains the reconstruction more tightly than context alone. This is formalised as the Ruin Beauty Theorem in Section VIII.3.</w:t>
      </w:r>
    </w:p>
    <w:p>
      <w:pPr>
        <w:pStyle w:val="Heading2"/>
        <w:spacing w:after="140" w:before="220"/>
      </w:pPr>
      <w:r>
        <w:rPr>
          <w:rFonts w:ascii="Palatino Linotype" w:cs="Palatino Linotype" w:eastAsia="Palatino Linotype" w:hAnsi="Palatino Linotype"/>
        </w:rPr>
        <w:t xml:space="preserve">7.4  The incommensurability objection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deepest objection: aesthetic experience is sui generis — irreducible to structural properties — and any formalisation necessarily misses what is essentially aesthetic about it.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formal response does not deny that aesthetic experience has a phenomenological character irreducible to structural description. It claims something more modest: that the structural properties specified by the formula are the objective correlates of that experience. The formula does not describe what beauty feels like; it describes what structural configurations reliably produce the feeling. This is analogous to the physics of colour (spectral reflectance) and the phenomenology of colour experience (qualia). The incommensurability objection is strongest against eliminativist reductions ('beauty is nothing but compressibility'). The constitutive hypothesis makes no such claim. It claims that compressibility at the optimal regime is the objective structural correlate. The phenomenological surplus is real and unexplained by the formula — but its existence is not evidence against the formula's correctness on its own terms.</w:t>
      </w:r>
    </w:p>
    <w:p>
      <w:pPr>
        <w:spacing w:after="80"/>
      </w:pPr>
    </w:p>
    <w:p>
      <w:pPr>
        <w:pStyle w:val="Heading1"/>
        <w:spacing w:after="140" w:before="320"/>
      </w:pPr>
      <w:r>
        <w:rPr>
          <w:rFonts w:ascii="Palatino Linotype" w:cs="Palatino Linotype" w:eastAsia="Palatino Linotype" w:hAnsi="Palatino Linotype"/>
        </w:rPr>
        <w:t xml:space="preserve">VIII.  Incompleteness Zones and Formally-Bounded Extension Theorems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A formal system is productive not despite its gaps but through them. Each incompleteness zone generates an extension theorem with stated boundary conditions and falsifiable predictions.</w:t>
      </w:r>
    </w:p>
    <w:p>
      <w:pPr>
        <w:pStyle w:val="Heading2"/>
        <w:spacing w:after="140" w:before="220"/>
      </w:pPr>
      <w:r>
        <w:rPr>
          <w:rFonts w:ascii="Palatino Linotype" w:cs="Palatino Linotype" w:eastAsia="Palatino Linotype" w:hAnsi="Palatino Linotype"/>
        </w:rPr>
        <w:t xml:space="preserve">8.1  Temporal beauty dynamics — the mere exposure curve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formula specifies B at a moment. It cannot explain why repeated exposure increases perceived beauty up to a threshold and then decreases at saturation (Zajonc, 1968).</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Temporal Saturation Theorem</w:t>
            </w:r>
          </w:p>
          <w:p>
            <w:pPr>
              <w:spacing w:after="0" w:line="264"/>
              <w:jc w:val="both"/>
            </w:pPr>
            <w:r>
              <w:rPr>
                <w:rFonts w:ascii="Palatino Linotype" w:cs="Palatino Linotype" w:eastAsia="Palatino Linotype" w:hAnsi="Palatino Linotype"/>
                <w:color w:val="1C1C1C"/>
                <w:sz w:val="19"/>
                <w:szCs w:val="19"/>
              </w:rPr>
              <w:t xml:space="preserve">Let M_t(x) be the perceiver's internal model of stimulus x after t exposures. Define residual complexity K(x|M_t) = K(x) − I(x; M_t), where I(x; M_t) is the mutual information between x and the current model. Then: dB/dt &gt; 0 while K(x|M_t) &gt; ε (the model has not yet fully captured the stimulus), and dB/dt &lt; 0 when K(x|M_t) ≈ 0 (the model fully predicts the stimulus). Saturation occurs at t* where K(x|M_t*) = ε. Note: this theorem also explains R_s expansion — repeated exposure to high-K objects gradually raises R_s, making previously inaccessible structures newly computable.</w:t>
            </w:r>
          </w:p>
        </w:tc>
      </w:tr>
    </w:tbl>
    <w:p>
      <w:pPr>
        <w:spacing w:after="10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Falsifiable prediction: saturation (t*) is an increasing function of K(x). Stimuli with FD = 1.2 saturate faster than stimuli with FD = 1.4. This is measurable by comparing preference curves across FD values over repeated exposures.</w:t>
      </w:r>
    </w:p>
    <w:p>
      <w:pPr>
        <w:pStyle w:val="Heading2"/>
        <w:spacing w:after="140" w:before="220"/>
      </w:pPr>
      <w:r>
        <w:rPr>
          <w:rFonts w:ascii="Palatino Linotype" w:cs="Palatino Linotype" w:eastAsia="Palatino Linotype" w:hAnsi="Palatino Linotype"/>
        </w:rPr>
        <w:t xml:space="preserve">8.2  Cultural propagation and aesthetic consensus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Aesthetic Cycle Theorem</w:t>
            </w:r>
          </w:p>
          <w:p>
            <w:pPr>
              <w:spacing w:after="0" w:line="264"/>
              <w:jc w:val="both"/>
            </w:pPr>
            <w:r>
              <w:rPr>
                <w:rFonts w:ascii="Palatino Linotype" w:cs="Palatino Linotype" w:eastAsia="Palatino Linotype" w:hAnsi="Palatino Linotype"/>
                <w:color w:val="1C1C1C"/>
                <w:sz w:val="19"/>
                <w:szCs w:val="19"/>
              </w:rPr>
              <w:t xml:space="preserve">Let K_pop(x) = K(x) − I(x; P) be the residual complexity of aesthetic form x given population P's current aesthetic model. Aesthetic consensus persists while K_pop(x) &gt; ε_pop. A fashion cycle terminates when K_pop(x) → 0: the form has been fully parsed by the population and generates no new S-I tension. Cycle length L ∝ K(x)/r, where r is the rate of population-level model updating. More complex forms sustain population attention longer before exhaustion.</w:t>
            </w:r>
          </w:p>
        </w:tc>
      </w:tr>
    </w:tbl>
    <w:p>
      <w:pPr>
        <w:spacing w:after="10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Prediction: fashion cycles for structurally simpler forms (minimal art, minimalist music) should be shorter than cycles for structurally complex forms (baroque, jazz), testable using historical data on aesthetic period lengths.</w:t>
      </w:r>
    </w:p>
    <w:p>
      <w:pPr>
        <w:pStyle w:val="Heading2"/>
        <w:spacing w:after="140" w:before="220"/>
      </w:pPr>
      <w:r>
        <w:rPr>
          <w:rFonts w:ascii="Palatino Linotype" w:cs="Palatino Linotype" w:eastAsia="Palatino Linotype" w:hAnsi="Palatino Linotype"/>
        </w:rPr>
        <w:t xml:space="preserve">8.3  The ruin paradox — formally bounded incompleteness theorem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Ruin Beauty Theorem</w:t>
            </w:r>
          </w:p>
          <w:p>
            <w:pPr>
              <w:spacing w:after="0" w:line="264"/>
              <w:jc w:val="both"/>
            </w:pPr>
            <w:r>
              <w:rPr>
                <w:rFonts w:ascii="Palatino Linotype" w:cs="Palatino Linotype" w:eastAsia="Palatino Linotype" w:hAnsi="Palatino Linotype"/>
                <w:color w:val="1C1C1C"/>
                <w:sz w:val="19"/>
                <w:szCs w:val="19"/>
              </w:rPr>
              <w:t xml:space="preserve">Let H(x|r) be the conditional entropy of original structure x given remnant r. Let H(x|c) be the conditional entropy of x given contextual knowledge c. Then: B(r) &gt; B(x) if and only if H(x|r) &lt; H(x|c). Interpretation: incompleteness increases beauty if and only if the remnant constrains the reconstruction more tightly than context alone — the remnant is informative relative to what the perceiver already knows. Conversely, B(r) &lt; B(x) when H(x|r) ≥ H(x|c): random destruction generates noise rather than structured reconstruction. The Venus de Milo satisfies the condition; a randomly shattered vase does not.</w:t>
            </w:r>
          </w:p>
        </w:tc>
      </w:tr>
    </w:tbl>
    <w:p>
      <w:pPr>
        <w:spacing w:after="100"/>
      </w:pPr>
    </w:p>
    <w:p>
      <w:pPr>
        <w:pStyle w:val="Heading2"/>
        <w:spacing w:after="140" w:before="220"/>
      </w:pPr>
      <w:r>
        <w:rPr>
          <w:rFonts w:ascii="Palatino Linotype" w:cs="Palatino Linotype" w:eastAsia="Palatino Linotype" w:hAnsi="Palatino Linotype"/>
        </w:rPr>
        <w:t xml:space="preserve">8.4  Domain-specificity — the generalised k* theorem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Generalised k* Theorem</w:t>
            </w:r>
          </w:p>
          <w:p>
            <w:pPr>
              <w:spacing w:after="0" w:line="264"/>
              <w:jc w:val="both"/>
            </w:pPr>
            <w:r>
              <w:rPr>
                <w:rFonts w:ascii="Palatino Linotype" w:cs="Palatino Linotype" w:eastAsia="Palatino Linotype" w:hAnsi="Palatino Linotype"/>
                <w:color w:val="1C1C1C"/>
                <w:sz w:val="19"/>
                <w:szCs w:val="19"/>
              </w:rPr>
              <w:t xml:space="preserve">For any perceptual or cognitive domain D, k*_D is determined by the Kolmogorov complexity statistics of the ecological environment for which the corresponding evolved detector was calibrated: k*_D = argmax_ρ E_D(ρ), where E_D(ρ) is the coding efficiency of the domain-D detector for stimuli with compressibility ratio ρ. For human visual domain: k*_V corresponds to FD ∈ [1.3, 1.5]. For human auditory domain: k*_A corresponds to 1/f power spectra (Voss &amp; Clarke, 1975). For human mathematical domain: k*_M corresponds to the complexity statistics of productive formal systems — those that generate many theorems from few axioms.</w:t>
            </w:r>
          </w:p>
        </w:tc>
      </w:tr>
    </w:tbl>
    <w:p>
      <w:pPr>
        <w:spacing w:after="10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Cross-species prediction: species with different evolutionary ecologies (pelagic fish with uniform blue visual environments vs. forest birds with high-FD canopy environments) should show systematically different k*_V values, testable using existing comparative behavioural paradigms.</w:t>
      </w:r>
    </w:p>
    <w:p>
      <w:pPr>
        <w:spacing w:after="80"/>
      </w:pPr>
    </w:p>
    <w:p>
      <w:pPr>
        <w:pStyle w:val="Heading1"/>
        <w:spacing w:after="140" w:before="320"/>
      </w:pPr>
      <w:r>
        <w:rPr>
          <w:rFonts w:ascii="Palatino Linotype" w:cs="Palatino Linotype" w:eastAsia="Palatino Linotype" w:hAnsi="Palatino Linotype"/>
        </w:rPr>
        <w:t xml:space="preserve">IX.  The Beauty–Truth Identity — Derivation and Scope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Paul Dirac said it is more important to have beauty in equations than to have them fit experiment. Feynman said you can recognise truth by its beauty and simplicity. Penrose said a beautiful idea has a much greater chance of being correct. Weyl chose beauty over truth and was vindicated. These are methodological commitments by four of the most successful formal scientists in history, with empirical track records that validate the instrument.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paradox: Dirac explicitly acknowledged that beauty cannot be formally defined, and then deployed it as his primary truth-detection instrument. The constitutive hypothesis makes the resolution tractable.</w:t>
      </w:r>
    </w:p>
    <w:p>
      <w:pPr>
        <w:pStyle w:val="Heading2"/>
        <w:spacing w:after="140" w:before="220"/>
      </w:pPr>
      <w:r>
        <w:rPr>
          <w:rFonts w:ascii="Palatino Linotype" w:cs="Palatino Linotype" w:eastAsia="Palatino Linotype" w:hAnsi="Palatino Linotype"/>
        </w:rPr>
        <w:t xml:space="preserve">9.1  The structural argument for formal theories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If beauty is the structural configuration corresponding to optimal tension between symmetry and information density, then a beautiful physical theory is one that exhibits optimal tension between its symmetry structure and its information density — the number and specificity of its empirical predictions per premise.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Correct physical theories achieve minimum description length for their empirical domain. Incorrect theories require additional premises to accommodate data that a correct theory would derive from its symmetries — their Kolmogorov complexity is higher for the same empirical coverage. The physicist's aesthetic sense detects this as ugliness: the presence of ad hoc adjustments, broken symmetries, and undeserved premises. The beauty-signal is the phenomenology of successful optimal-compressibility detection.</w:t>
      </w:r>
    </w:p>
    <w:p>
      <w:pPr>
        <w:pStyle w:val="Heading2"/>
        <w:spacing w:after="140" w:before="220"/>
      </w:pPr>
      <w:r>
        <w:rPr>
          <w:rFonts w:ascii="Palatino Linotype" w:cs="Palatino Linotype" w:eastAsia="Palatino Linotype" w:hAnsi="Palatino Linotype"/>
        </w:rPr>
        <w:t xml:space="preserve">9.2  The predictive density formula</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B(T) ∝ P(T) / K(T)</w:t>
            </w:r>
          </w:p>
          <w:p>
            <w:pPr>
              <w:spacing w:after="0"/>
              <w:jc w:val="center"/>
            </w:pPr>
            <w:r>
              <w:rPr>
                <w:rFonts w:ascii="Palatino Linotype" w:cs="Palatino Linotype" w:eastAsia="Palatino Linotype" w:hAnsi="Palatino Linotype"/>
                <w:i/>
                <w:iCs/>
                <w:color w:val="555555"/>
                <w:sz w:val="17"/>
                <w:szCs w:val="17"/>
              </w:rPr>
              <w:t xml:space="preserve">Beauty of a theory is proportional to its predictive density: predictions per unit of formal complexity</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Beauty–Truth Correspondence (Formal Theories)</w:t>
            </w:r>
          </w:p>
          <w:p>
            <w:pPr>
              <w:spacing w:after="0" w:line="264"/>
              <w:jc w:val="both"/>
            </w:pPr>
            <w:r>
              <w:rPr>
                <w:rFonts w:ascii="Palatino Linotype" w:cs="Palatino Linotype" w:eastAsia="Palatino Linotype" w:hAnsi="Palatino Linotype"/>
                <w:color w:val="1C1C1C"/>
                <w:sz w:val="19"/>
                <w:szCs w:val="19"/>
              </w:rPr>
              <w:t xml:space="preserve">Among competing theories with the same current empirical coverage, the theory with higher B(T) = P(T)/K(T) will, on average, prove more empirically accurate as new evidence accumulates. This is Dirac's methodological principle formally stated. It is falsifiable: in historical theory-competitions (pre-quantum, pre-GR), the theory with higher P(T)/K(T) should have prevailed. The track record of Dirac, Feynman, Penrose, and Weyl provides initial confirmation.</w:t>
            </w:r>
          </w:p>
        </w:tc>
      </w:tr>
    </w:tbl>
    <w:p>
      <w:pPr>
        <w:spacing w:after="100"/>
      </w:pPr>
    </w:p>
    <w:p>
      <w:pPr>
        <w:pStyle w:val="Heading2"/>
        <w:spacing w:after="140" w:before="220"/>
      </w:pPr>
      <w:r>
        <w:rPr>
          <w:rFonts w:ascii="Palatino Linotype" w:cs="Palatino Linotype" w:eastAsia="Palatino Linotype" w:hAnsi="Palatino Linotype"/>
        </w:rPr>
        <w:t xml:space="preserve">9.3  Extension to non-theoretical objects — Generative Compressibility</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Beauty–Truth Identity as stated applies to formal theories where P(T) — the count of empirical predictions — is well-defined. The question that must be addressed explicitly: does it apply to paintings, music, and faces? If not, the formula's claim to universality is structurally incomplete.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We introduce Generative Compressibility (GC) to bridge this gap:</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GC(x) = G(x) / K(x)</w:t>
            </w:r>
          </w:p>
          <w:p>
            <w:pPr>
              <w:spacing w:after="0"/>
              <w:jc w:val="center"/>
            </w:pPr>
            <w:r>
              <w:rPr>
                <w:rFonts w:ascii="Palatino Linotype" w:cs="Palatino Linotype" w:eastAsia="Palatino Linotype" w:hAnsi="Palatino Linotype"/>
                <w:i/>
                <w:iCs/>
                <w:color w:val="555555"/>
                <w:sz w:val="17"/>
                <w:szCs w:val="17"/>
              </w:rPr>
              <w:t xml:space="preserve">G(x) = generative yield · K(x) = Kolmogorov complexity of x</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G(x) is the generative yield of x — the number of distinct, non-redundant aesthetic experiences, interpretations, or perceptual reconstructions that x enables in a qualified perceiver. G(x) is the non-theoretical analogue of P(T): it measures how much structured output an object generates from its compressed representation.</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6226"/>
        <w:gridCol w:w="1400"/>
      </w:tblGrid>
      <w:tr>
        <w:tc>
          <w:tcPr>
            <w:tcW w:type="dxa" w:w="1400"/>
            <w:tcBorders>
              <w:top w:val="none" w:color="FFFFFF" w:sz="0"/>
              <w:left w:val="none" w:color="FFFFFF" w:sz="0"/>
              <w:bottom w:val="none" w:color="FFFFFF" w:sz="0"/>
              <w:right w:val="none" w:color="FFFFFF" w:sz="0"/>
            </w:tcBorders>
          </w:tcPr>
          <w:p>
            <w:pPr>
              <w:spacing w:after="0"/>
            </w:pPr>
          </w:p>
        </w:tc>
        <w:tc>
          <w:tcPr>
            <w:tcW w:type="dxa" w:w="6226"/>
            <w:tcBorders>
              <w:top w:val="single" w:color="2E3192" w:sz="3"/>
              <w:left w:val="single" w:color="2E3192" w:sz="3"/>
              <w:bottom w:val="single" w:color="2E3192" w:sz="3"/>
              <w:right w:val="single" w:color="2E3192" w:sz="3"/>
            </w:tcBorders>
            <w:shd w:fill="EEF0FF" w:val="clear"/>
            <w:tcMar>
              <w:top w:type="dxa" w:w="130"/>
              <w:left w:type="dxa" w:w="220"/>
              <w:bottom w:type="dxa" w:w="130"/>
              <w:right w:type="dxa" w:w="220"/>
            </w:tcMar>
            <w:vAlign w:val="center"/>
          </w:tcPr>
          <w:p>
            <w:pPr>
              <w:spacing w:after="40"/>
              <w:jc w:val="center"/>
            </w:pPr>
            <w:r>
              <w:rPr>
                <w:rFonts w:ascii="Palatino Linotype" w:cs="Palatino Linotype" w:eastAsia="Palatino Linotype" w:hAnsi="Palatino Linotype"/>
                <w:b/>
                <w:bCs/>
                <w:color w:val="2E3192"/>
                <w:sz w:val="28"/>
                <w:szCs w:val="28"/>
              </w:rPr>
              <w:t xml:space="preserve">B(x) ∝ GC(x) = G(x) / K(x)</w:t>
            </w:r>
          </w:p>
          <w:p>
            <w:pPr>
              <w:spacing w:after="0"/>
              <w:jc w:val="center"/>
            </w:pPr>
            <w:r>
              <w:rPr>
                <w:rFonts w:ascii="Palatino Linotype" w:cs="Palatino Linotype" w:eastAsia="Palatino Linotype" w:hAnsi="Palatino Linotype"/>
                <w:i/>
                <w:iCs/>
                <w:color w:val="555555"/>
                <w:sz w:val="17"/>
                <w:szCs w:val="17"/>
              </w:rPr>
              <w:t xml:space="preserve">generalised Beauty–Truth Identity via Generative Compressibility</w:t>
            </w:r>
          </w:p>
        </w:tc>
        <w:tc>
          <w:tcPr>
            <w:tcW w:type="dxa" w:w="1400"/>
            <w:tcBorders>
              <w:top w:val="none" w:color="FFFFFF" w:sz="0"/>
              <w:left w:val="none" w:color="FFFFFF" w:sz="0"/>
              <w:bottom w:val="none" w:color="FFFFFF" w:sz="0"/>
              <w:right w:val="none" w:color="FFFFFF" w:sz="0"/>
            </w:tcBorders>
          </w:tcPr>
          <w:p>
            <w:pPr>
              <w:spacing w:after="0"/>
            </w:pPr>
          </w:p>
        </w:tc>
      </w:tr>
    </w:tbl>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Generalised Beauty–Truth Identity</w:t>
            </w:r>
          </w:p>
          <w:p>
            <w:pPr>
              <w:spacing w:after="0" w:line="264"/>
              <w:jc w:val="both"/>
            </w:pPr>
            <w:r>
              <w:rPr>
                <w:rFonts w:ascii="Palatino Linotype" w:cs="Palatino Linotype" w:eastAsia="Palatino Linotype" w:hAnsi="Palatino Linotype"/>
                <w:color w:val="1C1C1C"/>
                <w:sz w:val="19"/>
                <w:szCs w:val="19"/>
              </w:rPr>
              <w:t xml:space="preserve">For both formal theories and non-theoretical aesthetic objects, beauty is proportional to Generative Compressibility: the ratio of generative yield to algorithmic complexity. For formal theories, G(T) = P(T) (empirical predictions). For non-theoretical objects, G(x) = the count of distinct non-redundant perceptual reconstructions enabled by x in a qualified population. Both are expressions of the same principle: maximum structured output from minimum description.</w:t>
            </w:r>
          </w:p>
        </w:tc>
      </w:tr>
    </w:tbl>
    <w:p>
      <w:pPr>
        <w:spacing w:after="100"/>
      </w:pPr>
    </w:p>
    <w:p>
      <w:pPr>
        <w:pStyle w:val="Heading2"/>
        <w:spacing w:after="140" w:before="220"/>
      </w:pPr>
      <w:r>
        <w:rPr>
          <w:rFonts w:ascii="Palatino Linotype" w:cs="Palatino Linotype" w:eastAsia="Palatino Linotype" w:hAnsi="Palatino Linotype"/>
        </w:rPr>
        <w:t xml:space="preserve">9.4  Operationalisation of G(x)</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G(x) requires concrete measurement to be scientifically useful. Three operationalisation methods are available for non-theoretical objects, each applicable to different domains.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Method 1 — Interpretation entropy for visual art and literature. Present the object to a qualified population (trained perceivers with R_s ≥ K(x)) and collect structured reports of perceptual organisation across N controlled viewing sessions. G(x) = H(R) where H(R) is the Shannon entropy of the distribution of distinct reported interpretations R. A Bach fugue with high entropy across listener descriptions has high G; a jingle with near-uniform listener responses has low G. This method requires: (a) a qualified population with calibrated R_s ≥ K(x); (b) a coding scheme for distinct vs. redundant interpretations; (c) sufficient N for entropy estimation.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Method 2 — Compression-residual analysis for music. Record brain activity (fMRI or EEG) across repeated exposures of a musical stimulus. G(x) ≈ the area under the mutual information curve I(x; M_t) as t increases — the total structural information extracted by the perceiver's model before saturation. A stimulus with high G sustains new information extraction over many exposures; a stimulus with low G saturates rapidly. This method has the advantage of being perceiver-independent once R_s is controlled.</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Method 3 — Reconstruction fidelity for incomplete objects. Apply the Ruin Beauty Theorem methodology: present fragments of the object to a population and measure the entropy H(x|r) — the uncertainty about the original structure given the fragment. G(x) for the fragment = 1/H(x|r), normalised by K(x). Fragments that tightly constrain reconstruction have high G/K; fragments that leave reconstruction open generate noise. This operationalisation directly connects the Ruin Beauty Theorem (Section VIII.3) to the Generative Compressibility framework.</w:t>
      </w:r>
    </w:p>
    <w:p>
      <w:pPr>
        <w:pStyle w:val="Heading2"/>
        <w:spacing w:after="140" w:before="220"/>
      </w:pPr>
      <w:r>
        <w:rPr>
          <w:rFonts w:ascii="Palatino Linotype" w:cs="Palatino Linotype" w:eastAsia="Palatino Linotype" w:hAnsi="Palatino Linotype"/>
        </w:rPr>
        <w:t xml:space="preserve">9.5  Consequences of GC</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Generative Compressibility framework explains three empirical regularities that prior theories cannot derive. First, great art is inexhaustible: high G(x) means the object continuously generates new interpretations latent in its compressed structure. Each encounter extracts new structural information, sustaining the beauty-signal. Second, cliché fails aesthetically regardless of its mechanism: a formulaic composition has low K (highly predictable) but also low G (few non-redundant experiences). The G/K ratio is low whether the failure is driven by excessive symmetry or by insufficient generative depth. Third, incompleteness amplifies beauty under the right conditions: a fragment raises G(x) without changing K(x) — the fragment enables more reconstruction paths than the intact object — raising G/K provided the Ruin Beauty boundary condition is satisfied.</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measurement of G(x) is more challenging than counting empirical predictions, but it is tractable with the three methods above. The Beauty–Truth Identity is now formally universal: it applies to the physical theory, the Bach fugue, the ruins of Rome, and the DNA helix through the same structural principle — maximum output from minimum description.</w:t>
      </w:r>
    </w:p>
    <w:p>
      <w:pPr>
        <w:pStyle w:val="Heading2"/>
        <w:spacing w:after="140" w:before="220"/>
      </w:pPr>
      <w:r>
        <w:rPr>
          <w:rFonts w:ascii="Palatino Linotype" w:cs="Palatino Linotype" w:eastAsia="Palatino Linotype" w:hAnsi="Palatino Linotype"/>
        </w:rPr>
        <w:t xml:space="preserve">9.6  The Aesthetic Engine — an implementable corollary</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Generative Compressibility framework has a direct computational consequence that the theory must name explicitly. Current AI generative systems (music, image, text) optimise for statistical similarity to training data — they learn to imitate the distribution of human-produced objects. This produces aesthetically homogenised output: averages of human preferences, not occupants of the k* regime.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A GC-optimising generative system would operate differently. Its loss function would be: maximise G(x)/K(x) subject to the constraint that the object occupies the k* compressibility regime for its target domain. Such a system would not ask 'what do humans like?' but 'what structural configuration generates maximum non-redundant output from minimum description?' The result would be objects that human nervous systems recognise as beautiful — not because they resemble familiar objects, but because they satisfy the same structural criterion that our evolved detectors are calibrated to track.</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distinction is between imitation and discovery. A GC-optimising system could in principle discover aesthetic configurations that no human has produced — novel fractal structures, new musical grammars, molecular architectures — that are nonetheless immediately recognisable as beautiful to any human nervous system with sufficient R_s. The theory predicts this because beauty is objective: it does not require prior exposure to a configuration to be detected, only a nervous system calibrated to the relevant k* regime.</w:t>
      </w:r>
    </w:p>
    <w:p>
      <w:pPr>
        <w:spacing w:after="80"/>
      </w:pPr>
    </w:p>
    <w:p>
      <w:pPr>
        <w:pStyle w:val="Heading1"/>
        <w:spacing w:after="140" w:before="320"/>
      </w:pPr>
      <w:r>
        <w:rPr>
          <w:rFonts w:ascii="Palatino Linotype" w:cs="Palatino Linotype" w:eastAsia="Palatino Linotype" w:hAnsi="Palatino Linotype"/>
        </w:rPr>
        <w:t xml:space="preserve">X.  Self-Organised Criticality as Physical Grounding</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constitutive theory of beauty identifies the k* optimal compressibility regime as the site of maximum aesthetic value. This identification has a structural parallel in physics that has not previously been drawn: the theory of Self-Organised Criticality (SOC), introduced by Bak, Tang, and Wiesenfeld (1987).</w:t>
      </w:r>
    </w:p>
    <w:p>
      <w:pPr>
        <w:pStyle w:val="Heading2"/>
        <w:spacing w:after="140" w:before="220"/>
      </w:pPr>
      <w:r>
        <w:rPr>
          <w:rFonts w:ascii="Palatino Linotype" w:cs="Palatino Linotype" w:eastAsia="Palatino Linotype" w:hAnsi="Palatino Linotype"/>
        </w:rPr>
        <w:t xml:space="preserve">10.1  The criticality connection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Self-Organised Criticality describes physical systems that spontaneously evolve toward a critical point between order and disorder — the same regime that the Constitutive Beauty Formula identifies as k*. In SOC systems: too much order produces static, sterile configurations incapable of structural variety (the high-S, low-I extreme). Too much disorder produces unstable, incoherent configurations that dissipate rapidly (the low-S, high-I extreme). Only configurations at the critical point generate the scale-free power laws, fractal geometries, and emergent complexity characteristic of living systems, ecosystems, and physical phenomena at the boundary of phase transitions.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fractal dimension range 1.3–1.5 that anchors k* in the visual domain corresponds precisely to the fractal dimension of SOC system outputs. Sandpile avalanches, neuronal firing cascades, earthquake distributions, and forest fires under natural conditions all generate spatial and temporal patterns with fractal dimensions in this range. These are not the same objects, but they share the same structural signature: they are all at the critical point between order and chaos, and they all exhibit the same compressibility regime that the constitutive formula identifies as maximally beautiful.</w:t>
      </w:r>
    </w:p>
    <w:p>
      <w:pPr>
        <w:pStyle w:val="Heading2"/>
        <w:spacing w:after="140" w:before="220"/>
      </w:pPr>
      <w:r>
        <w:rPr>
          <w:rFonts w:ascii="Palatino Linotype" w:cs="Palatino Linotype" w:eastAsia="Palatino Linotype" w:hAnsi="Palatino Linotype"/>
        </w:rPr>
        <w:t xml:space="preserve">10.2  Beauty as the signature of critical structure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SOC connection provides the physical grounding for the evolutionary calibration argument. Human nervous systems evolved in environments dominated by SOC outputs: natural landscapes (Hagerhall et al., 2004), river networks, forest canopies, weather patterns — all of which exhibit critical-point fractal geometry. The ecological calibration that places k* at FD 1.3–1.5 is therefore calibration to the statistical signature of SOC processes in the Pleistocene environment.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generates a deeper claim: beauty is not merely the phenomenology of successful compression. It is the phenomenology of detecting critical structure — the signature of a system at the dynamic boundary between order and entropy where complexity, life, and information-bearing structures are possible. The beauty-signal is the nervous system's report that it has encountered a configuration that shares the structural properties of the environments in which complexity persists.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3192" w:sz="6"/>
              <w:bottom w:val="none" w:color="FFFFFF" w:sz="0"/>
              <w:right w:val="none" w:color="FFFFFF" w:sz="0"/>
            </w:tcBorders>
            <w:shd w:fill="F8F8FF" w:val="clear"/>
            <w:tcMar>
              <w:top w:type="dxa" w:w="100"/>
              <w:left w:type="dxa" w:w="240"/>
              <w:bottom w:type="dxa" w:w="100"/>
              <w:right w:type="dxa" w:w="120"/>
            </w:tcMar>
          </w:tcPr>
          <w:p>
            <w:pPr>
              <w:spacing w:after="60"/>
            </w:pPr>
            <w:r>
              <w:rPr>
                <w:rFonts w:ascii="Palatino Linotype" w:cs="Palatino Linotype" w:eastAsia="Palatino Linotype" w:hAnsi="Palatino Linotype"/>
                <w:b/>
                <w:bCs/>
                <w:color w:val="2E3192"/>
                <w:sz w:val="20"/>
                <w:szCs w:val="20"/>
              </w:rPr>
              <w:t xml:space="preserve">Criticality-Beauty Correspondence</w:t>
            </w:r>
          </w:p>
          <w:p>
            <w:pPr>
              <w:spacing w:after="0" w:line="264"/>
              <w:jc w:val="both"/>
            </w:pPr>
            <w:r>
              <w:rPr>
                <w:rFonts w:ascii="Palatino Linotype" w:cs="Palatino Linotype" w:eastAsia="Palatino Linotype" w:hAnsi="Palatino Linotype"/>
                <w:color w:val="1C1C1C"/>
                <w:sz w:val="19"/>
                <w:szCs w:val="19"/>
              </w:rPr>
              <w:t xml:space="preserve">For any physical or computational system S: if S is at or near its critical point (in the sense of SOC), its spatial and temporal outputs will have fractal dimensions in the range that maximises B under the Constitutive Beauty Formula. Equivalently: beautiful objects and critical systems occupy the same compressibility regime (ρ*). Beauty is the subjective phenomenology of detecting critical-point structure. The universe 'appears to prefer' beautiful configurations not because it has aesthetic preferences but because only critical-point structures are dynamically stable — the beauty filter and the stability filter are the same filter.</w:t>
            </w:r>
          </w:p>
        </w:tc>
      </w:tr>
    </w:tbl>
    <w:p>
      <w:pPr>
        <w:spacing w:after="100"/>
      </w:pPr>
    </w:p>
    <w:p>
      <w:pPr>
        <w:pStyle w:val="Heading2"/>
        <w:spacing w:after="140" w:before="220"/>
      </w:pPr>
      <w:r>
        <w:rPr>
          <w:rFonts w:ascii="Palatino Linotype" w:cs="Palatino Linotype" w:eastAsia="Palatino Linotype" w:hAnsi="Palatino Linotype"/>
        </w:rPr>
        <w:t xml:space="preserve">10.3  The thermodynamic restatement</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thermodynamic implications are precise. A system with too much symmetry (S → maximum) is at thermodynamic equilibrium — maximum entropy, minimum information, no free energy available for structural work. It is aesthetically sterile and physically dead. A system with too much disorder (I → maximum without structural organisation) is far from equilibrium but unstable — it dissipates rapidly. Only systems at the critical point maintain the sustained tension between order and entropy that enables both structural stability and information-bearing complexity.</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Ugliness Inversion Theorem now has a thermodynamic interpretation: driving an object from the k* regime toward either extreme is driving it toward either thermodynamic death (pure order) or thermodynamic dissolution (pure chaos). The active aversive response to extreme ugliness is the nervous system's detection of structural failure — the broken compression promise is simultaneously a structural instability signal. Beauty is the detection of the one regime in which complex structures can persist.</w:t>
      </w:r>
    </w:p>
    <w:p>
      <w:pPr>
        <w:spacing w:after="80"/>
      </w:pPr>
    </w:p>
    <w:p>
      <w:pPr>
        <w:pStyle w:val="Heading1"/>
        <w:spacing w:after="140" w:before="320"/>
      </w:pPr>
      <w:r>
        <w:rPr>
          <w:rFonts w:ascii="Palatino Linotype" w:cs="Palatino Linotype" w:eastAsia="Palatino Linotype" w:hAnsi="Palatino Linotype"/>
        </w:rPr>
        <w:t xml:space="preserve">XI.  Falsifiable Predictions and Experimental Designs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section collects all falsifiable predictions generated by the theory with specific experimental designs. The predictions span the core formula, the R_s variable, the extension theorems, the Beauty–Truth Identity, and the SOC connection.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900"/>
        <w:gridCol w:w="3500"/>
        <w:gridCol w:w="3626"/>
      </w:tblGrid>
      <w:tr>
        <w:tc>
          <w:tcPr>
            <w:tcW w:type="dxa" w:w="19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Prediction</w:t>
            </w:r>
          </w:p>
        </w:tc>
        <w:tc>
          <w:tcPr>
            <w:tcW w:type="dxa" w:w="35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What to measure</w:t>
            </w:r>
          </w:p>
        </w:tc>
        <w:tc>
          <w:tcPr>
            <w:tcW w:type="dxa" w:w="3626"/>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Expected result</w:t>
            </w:r>
          </w:p>
        </w:tc>
      </w:tr>
      <w:tr>
        <w:tc>
          <w:tcPr>
            <w:tcW w:type="dxa" w:w="19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FD-mOFC monotonicity</w:t>
            </w:r>
          </w:p>
        </w:tc>
        <w:tc>
          <w:tcPr>
            <w:tcW w:type="dxa" w:w="35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mOFC activation for fractal stimuli at FD 1.0, 1.2, 1.35, 1.5, 1.7, 2.0 (fMRI)</w:t>
            </w:r>
          </w:p>
        </w:tc>
        <w:tc>
          <w:tcPr>
            <w:tcW w:type="dxa" w:w="36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Inverted-U curve peaking at FD 1.3–1.5; active negative response (amygdala/insula) at extremes</w:t>
            </w:r>
          </w:p>
        </w:tc>
      </w:tr>
      <w:tr>
        <w:tc>
          <w:tcPr>
            <w:tcW w:type="dxa" w:w="19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Ugliness as broken promise</w:t>
            </w:r>
          </w:p>
        </w:tc>
        <w:tc>
          <w:tcPr>
            <w:tcW w:type="dxa" w:w="35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mOFC/amygdala response for stimuli that initiate vs. never initiate compression parsing</w:t>
            </w:r>
          </w:p>
        </w:tc>
        <w:tc>
          <w:tcPr>
            <w:tcW w:type="dxa" w:w="36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Maximum aversion for stimuli that begin structural recognition and fail; lower aversion for pure noise</w:t>
            </w:r>
          </w:p>
        </w:tc>
      </w:tr>
      <w:tr>
        <w:tc>
          <w:tcPr>
            <w:tcW w:type="dxa" w:w="19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Saturation rate vs. FD</w:t>
            </w:r>
          </w:p>
        </w:tc>
        <w:tc>
          <w:tcPr>
            <w:tcW w:type="dxa" w:w="35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Preference curves for FD 1.2, 1.35, 1.5, 1.7 across 20 repeated exposures</w:t>
            </w:r>
          </w:p>
        </w:tc>
        <w:tc>
          <w:tcPr>
            <w:tcW w:type="dxa" w:w="36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Saturation at fewer exposures for lower FD stimuli (lower K exhausted faster)</w:t>
            </w:r>
          </w:p>
        </w:tc>
      </w:tr>
      <w:tr>
        <w:tc>
          <w:tcPr>
            <w:tcW w:type="dxa" w:w="19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R_s expansion via training</w:t>
            </w:r>
          </w:p>
        </w:tc>
        <w:tc>
          <w:tcPr>
            <w:tcW w:type="dxa" w:w="35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Aesthetic preference for high-complexity stimuli before and after structured training in the relevant domain</w:t>
            </w:r>
          </w:p>
        </w:tc>
        <w:tc>
          <w:tcPr>
            <w:tcW w:type="dxa" w:w="36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Post-training preference for higher-FD stimuli (expanded R_s); greater expert agreement on canonical k* objects</w:t>
            </w:r>
          </w:p>
        </w:tc>
      </w:tr>
      <w:tr>
        <w:tc>
          <w:tcPr>
            <w:tcW w:type="dxa" w:w="19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Cross-species k*</w:t>
            </w:r>
          </w:p>
        </w:tc>
        <w:tc>
          <w:tcPr>
            <w:tcW w:type="dxa" w:w="35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Preference testing in pelagic vs. forest-adapted bird species using fractal stimuli at varied FD</w:t>
            </w:r>
          </w:p>
        </w:tc>
        <w:tc>
          <w:tcPr>
            <w:tcW w:type="dxa" w:w="36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Pelagic species prefer lower FD; forest species prefer higher FD — k* tracks evolutionary visual ecology</w:t>
            </w:r>
          </w:p>
        </w:tc>
      </w:tr>
      <w:tr>
        <w:tc>
          <w:tcPr>
            <w:tcW w:type="dxa" w:w="19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Ruin beauty boundary</w:t>
            </w:r>
          </w:p>
        </w:tc>
        <w:tc>
          <w:tcPr>
            <w:tcW w:type="dxa" w:w="35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Beauty ratings for objects with structured vs. random degradation, measuring H(x|r) for each remnant</w:t>
            </w:r>
          </w:p>
        </w:tc>
        <w:tc>
          <w:tcPr>
            <w:tcW w:type="dxa" w:w="36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B_post &gt; B_0 only when H(x|r) &lt; H(x|c); random degradation reduces B</w:t>
            </w:r>
          </w:p>
        </w:tc>
      </w:tr>
      <w:tr>
        <w:tc>
          <w:tcPr>
            <w:tcW w:type="dxa" w:w="19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Auditory k* at 1/f</w:t>
            </w:r>
          </w:p>
        </w:tc>
        <w:tc>
          <w:tcPr>
            <w:tcW w:type="dxa" w:w="35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Preference ratings for musical stimuli with 1/f, 1/f², and white noise power spectra</w:t>
            </w:r>
          </w:p>
        </w:tc>
        <w:tc>
          <w:tcPr>
            <w:tcW w:type="dxa" w:w="36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Peak preference at 1/f; active aversion at white noise (broken compression promise at the auditory level)</w:t>
            </w:r>
          </w:p>
        </w:tc>
      </w:tr>
      <w:tr>
        <w:tc>
          <w:tcPr>
            <w:tcW w:type="dxa" w:w="19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Theory beauty vs. P(T)/K(T)</w:t>
            </w:r>
          </w:p>
        </w:tc>
        <w:tc>
          <w:tcPr>
            <w:tcW w:type="dxa" w:w="35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Expert physicists/mathematicians rate beauty of theories; compare to independently computed P(T)/K(T) ratios</w:t>
            </w:r>
          </w:p>
        </w:tc>
        <w:tc>
          <w:tcPr>
            <w:tcW w:type="dxa" w:w="36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Significant positive correlation between aesthetic rating and predictive density</w:t>
            </w:r>
          </w:p>
        </w:tc>
      </w:tr>
      <w:tr>
        <w:tc>
          <w:tcPr>
            <w:tcW w:type="dxa" w:w="19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G(x) and aesthetic depth</w:t>
            </w:r>
          </w:p>
        </w:tc>
        <w:tc>
          <w:tcPr>
            <w:tcW w:type="dxa" w:w="35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Interpretation entropy H(R) for artworks with known structural complexity; correlate with beauty ratings</w:t>
            </w:r>
          </w:p>
        </w:tc>
        <w:tc>
          <w:tcPr>
            <w:tcW w:type="dxa" w:w="36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Positive correlation between G/K and aesthetic rating; higher G predicts lower saturation rate</w:t>
            </w:r>
          </w:p>
        </w:tc>
      </w:tr>
    </w:tbl>
    <w:p>
      <w:pPr>
        <w:spacing w:after="160"/>
      </w:pPr>
    </w:p>
    <w:p>
      <w:pPr>
        <w:pStyle w:val="Heading1"/>
        <w:spacing w:after="140" w:before="320"/>
      </w:pPr>
      <w:r>
        <w:rPr>
          <w:rFonts w:ascii="Palatino Linotype" w:cs="Palatino Linotype" w:eastAsia="Palatino Linotype" w:hAnsi="Palatino Linotype"/>
        </w:rPr>
        <w:t xml:space="preserve">XII.  The Research Programme</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following table summarises the complete trajectory of claims, distinguishing what has been formally derived, what has been proposed as the next formal step, and what remains as a research horizon.</w:t>
      </w:r>
    </w:p>
    <w:p>
      <w:pPr>
        <w:spacing w:after="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400"/>
        <w:gridCol w:w="2200"/>
        <w:gridCol w:w="2426"/>
      </w:tblGrid>
      <w:tr>
        <w:tc>
          <w:tcPr>
            <w:tcW w:type="dxa" w:w="20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Element</w:t>
            </w:r>
          </w:p>
        </w:tc>
        <w:tc>
          <w:tcPr>
            <w:tcW w:type="dxa" w:w="24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Status</w:t>
            </w:r>
          </w:p>
        </w:tc>
        <w:tc>
          <w:tcPr>
            <w:tcW w:type="dxa" w:w="2200"/>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Next formal step</w:t>
            </w:r>
          </w:p>
        </w:tc>
        <w:tc>
          <w:tcPr>
            <w:tcW w:type="dxa" w:w="2426"/>
            <w:tcBorders>
              <w:top w:val="single" w:color="2E3192" w:sz="3"/>
              <w:left w:val="single" w:color="2E3192" w:sz="3"/>
              <w:bottom w:val="single" w:color="2E3192" w:sz="3"/>
              <w:right w:val="single" w:color="2E3192" w:sz="3"/>
            </w:tcBorders>
            <w:shd w:fill="2E3192" w:val="clear"/>
            <w:tcMar>
              <w:top w:type="dxa" w:w="100"/>
              <w:left w:type="dxa" w:w="140"/>
              <w:bottom w:type="dxa" w:w="100"/>
              <w:right w:type="dxa" w:w="140"/>
            </w:tcMar>
          </w:tcPr>
          <w:p>
            <w:pPr>
              <w:jc w:val="center"/>
            </w:pPr>
            <w:r>
              <w:rPr>
                <w:rFonts w:ascii="Palatino Linotype" w:cs="Palatino Linotype" w:eastAsia="Palatino Linotype" w:hAnsi="Palatino Linotype"/>
                <w:b/>
                <w:bCs/>
                <w:color w:val="FFFFFF"/>
                <w:sz w:val="19"/>
                <w:szCs w:val="19"/>
              </w:rPr>
              <w:t xml:space="preserve">Research horizon</w:t>
            </w:r>
          </w:p>
        </w:tc>
      </w:tr>
      <w:tr>
        <w:tc>
          <w:tcPr>
            <w:tcW w:type="dxa" w:w="2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B = f(S, I, T)</w:t>
            </w:r>
          </w:p>
        </w:tc>
        <w:tc>
          <w:tcPr>
            <w:tcW w:type="dxa" w:w="24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Architecture; variables operationalised per domain</w:t>
            </w:r>
          </w:p>
        </w:tc>
        <w:tc>
          <w:tcPr>
            <w:tcW w:type="dxa" w:w="22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Experimental measurement of S, I, T for canonical stimuli</w:t>
            </w:r>
          </w:p>
        </w:tc>
        <w:tc>
          <w:tcPr>
            <w:tcW w:type="dxa" w:w="2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Universal domain-independent operationalisation</w:t>
            </w:r>
          </w:p>
        </w:tc>
      </w:tr>
      <w:tr>
        <w:tc>
          <w:tcPr>
            <w:tcW w:type="dxa" w:w="2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k* derivation</w:t>
            </w:r>
          </w:p>
        </w:tc>
        <w:tc>
          <w:tcPr>
            <w:tcW w:type="dxa" w:w="24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Formally derived via Kolmogorov/MDL with explicit equations and statistical fractal qualification</w:t>
            </w:r>
          </w:p>
        </w:tc>
        <w:tc>
          <w:tcPr>
            <w:tcW w:type="dxa" w:w="22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Measure-theoretic rigourisation</w:t>
            </w:r>
          </w:p>
        </w:tc>
        <w:tc>
          <w:tcPr>
            <w:tcW w:type="dxa" w:w="2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Empirical k* mapping across species</w:t>
            </w:r>
          </w:p>
        </w:tc>
      </w:tr>
      <w:tr>
        <w:tc>
          <w:tcPr>
            <w:tcW w:type="dxa" w:w="2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Ugliness Inversion Theorem</w:t>
            </w:r>
          </w:p>
        </w:tc>
        <w:tc>
          <w:tcPr>
            <w:tcW w:type="dxa" w:w="24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Derived as theorem; reframed as broken compression promise with distinct empirical prediction</w:t>
            </w:r>
          </w:p>
        </w:tc>
        <w:tc>
          <w:tcPr>
            <w:tcW w:type="dxa" w:w="22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Parametric T manipulation at neuroimaging level; broken-promise stimulus design</w:t>
            </w:r>
          </w:p>
        </w:tc>
        <w:tc>
          <w:tcPr>
            <w:tcW w:type="dxa" w:w="2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Ugliness prediction across novel domains</w:t>
            </w:r>
          </w:p>
        </w:tc>
      </w:tr>
      <w:tr>
        <w:tc>
          <w:tcPr>
            <w:tcW w:type="dxa" w:w="2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R_s (Subject Resolution)</w:t>
            </w:r>
          </w:p>
        </w:tc>
        <w:tc>
          <w:tcPr>
            <w:tcW w:type="dxa" w:w="24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Formally defined; B_perceived formula stated; cultural variation and expert calibration derived</w:t>
            </w:r>
          </w:p>
        </w:tc>
        <w:tc>
          <w:tcPr>
            <w:tcW w:type="dxa" w:w="22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R_s measurement protocol; training-expansion experiment</w:t>
            </w:r>
          </w:p>
        </w:tc>
        <w:tc>
          <w:tcPr>
            <w:tcW w:type="dxa" w:w="2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R_s mapping across populations and expertise levels</w:t>
            </w:r>
          </w:p>
        </w:tc>
      </w:tr>
      <w:tr>
        <w:tc>
          <w:tcPr>
            <w:tcW w:type="dxa" w:w="2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Five-discipline confirmation</w:t>
            </w:r>
          </w:p>
        </w:tc>
        <w:tc>
          <w:tcPr>
            <w:tcW w:type="dxa" w:w="24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Structural confirmation with domain-specific operationalisation</w:t>
            </w:r>
          </w:p>
        </w:tc>
        <w:tc>
          <w:tcPr>
            <w:tcW w:type="dxa" w:w="22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Domain-specific k* values tested empirically</w:t>
            </w:r>
          </w:p>
        </w:tc>
        <w:tc>
          <w:tcPr>
            <w:tcW w:type="dxa" w:w="2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Eighth discipline: architecture</w:t>
            </w:r>
          </w:p>
        </w:tc>
      </w:tr>
      <w:tr>
        <w:tc>
          <w:tcPr>
            <w:tcW w:type="dxa" w:w="2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Four extension theorems</w:t>
            </w:r>
          </w:p>
        </w:tc>
        <w:tc>
          <w:tcPr>
            <w:tcW w:type="dxa" w:w="24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All four formally bounded: Temporal Saturation, Aesthetic Cycle, Ruin Beauty, Generalised k*</w:t>
            </w:r>
          </w:p>
        </w:tc>
        <w:tc>
          <w:tcPr>
            <w:tcW w:type="dxa" w:w="22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Experimental tests per theorem prediction</w:t>
            </w:r>
          </w:p>
        </w:tc>
        <w:tc>
          <w:tcPr>
            <w:tcW w:type="dxa" w:w="2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Computational simulation of all four dynamics</w:t>
            </w:r>
          </w:p>
        </w:tc>
      </w:tr>
      <w:tr>
        <w:tc>
          <w:tcPr>
            <w:tcW w:type="dxa" w:w="2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Beauty–Truth Identity</w:t>
            </w:r>
          </w:p>
        </w:tc>
        <w:tc>
          <w:tcPr>
            <w:tcW w:type="dxa" w:w="24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Initial derivation B(T) ∝ P(T)/K(T); extended to GC(x) = G(x)/K(x) with three operationalisation methods for G(x)</w:t>
            </w:r>
          </w:p>
        </w:tc>
        <w:tc>
          <w:tcPr>
            <w:tcW w:type="dxa" w:w="22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Expert aesthetics-vs-predictive-density study; G(x) measurement pilot</w:t>
            </w:r>
          </w:p>
        </w:tc>
        <w:tc>
          <w:tcPr>
            <w:tcW w:type="dxa" w:w="2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Full MDL-based derivation; computational G(x) model</w:t>
            </w:r>
          </w:p>
        </w:tc>
      </w:tr>
      <w:tr>
        <w:tc>
          <w:tcPr>
            <w:tcW w:type="dxa" w:w="20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Aesthetic Engine corollary</w:t>
            </w:r>
          </w:p>
        </w:tc>
        <w:tc>
          <w:tcPr>
            <w:tcW w:type="dxa" w:w="24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Formally named as implementable consequence of GC framework</w:t>
            </w:r>
          </w:p>
        </w:tc>
        <w:tc>
          <w:tcPr>
            <w:tcW w:type="dxa" w:w="2200"/>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Proof-of-concept GC-optimising generative system</w:t>
            </w:r>
          </w:p>
        </w:tc>
        <w:tc>
          <w:tcPr>
            <w:tcW w:type="dxa" w:w="2426"/>
            <w:tcBorders>
              <w:top w:val="single" w:color="CCCCCC" w:sz="1"/>
              <w:left w:val="single" w:color="CCCCCC" w:sz="1"/>
              <w:bottom w:val="single" w:color="CCCCCC" w:sz="1"/>
              <w:right w:val="single" w:color="CCCCCC" w:sz="1"/>
            </w:tcBorders>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Deployed Aesthetic Engine; comparison with statistical AI output</w:t>
            </w:r>
          </w:p>
        </w:tc>
      </w:tr>
      <w:tr>
        <w:tc>
          <w:tcPr>
            <w:tcW w:type="dxa" w:w="20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bCs/>
                <w:i w:val="false"/>
                <w:iCs w:val="false"/>
                <w:color w:val="1C1C1C"/>
                <w:sz w:val="18"/>
                <w:szCs w:val="18"/>
              </w:rPr>
              <w:t xml:space="preserve">SOC connection</w:t>
            </w:r>
          </w:p>
        </w:tc>
        <w:tc>
          <w:tcPr>
            <w:tcW w:type="dxa" w:w="24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Criticality-Beauty Correspondence theorem; thermodynamic restatement of Ugliness Inversion</w:t>
            </w:r>
          </w:p>
        </w:tc>
        <w:tc>
          <w:tcPr>
            <w:tcW w:type="dxa" w:w="2200"/>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Empirical test of SOC fractal dimensions vs. aesthetic preference across domains</w:t>
            </w:r>
          </w:p>
        </w:tc>
        <w:tc>
          <w:tcPr>
            <w:tcW w:type="dxa" w:w="2426"/>
            <w:tcBorders>
              <w:top w:val="single" w:color="CCCCCC" w:sz="1"/>
              <w:left w:val="single" w:color="CCCCCC" w:sz="1"/>
              <w:bottom w:val="single" w:color="CCCCCC" w:sz="1"/>
              <w:right w:val="single" w:color="CCCCCC" w:sz="1"/>
            </w:tcBorders>
            <w:shd w:fill="F0F0FF" w:val="clear"/>
            <w:tcMar>
              <w:top w:type="dxa" w:w="90"/>
              <w:left w:type="dxa" w:w="140"/>
              <w:bottom w:type="dxa" w:w="90"/>
              <w:right w:type="dxa" w:w="140"/>
            </w:tcMar>
          </w:tcPr>
          <w:p>
            <w:pPr>
              <w:jc w:val="left"/>
            </w:pPr>
            <w:r>
              <w:rPr>
                <w:rFonts w:ascii="Palatino Linotype" w:cs="Palatino Linotype" w:eastAsia="Palatino Linotype" w:hAnsi="Palatino Linotype"/>
                <w:b w:val="false"/>
                <w:bCs w:val="false"/>
                <w:i w:val="false"/>
                <w:iCs w:val="false"/>
                <w:color w:val="1C1C1C"/>
                <w:sz w:val="18"/>
                <w:szCs w:val="18"/>
              </w:rPr>
              <w:t xml:space="preserve">Unified SOC-aesthetics framework</w:t>
            </w:r>
          </w:p>
        </w:tc>
      </w:tr>
    </w:tbl>
    <w:p>
      <w:pPr>
        <w:spacing w:after="160"/>
      </w:pP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claim of this article is not that the formal theory of beauty is complete. It is that the productive structural position from which it becomes derivable has been formally occupied — and that the key derivations, the R_s framework, the GC operationalisation, and the SOC grounding have transformed the programme from a promising architecture into a testable, implementable framework with no remaining underdetermined variables at the core.</w:t>
      </w:r>
    </w:p>
    <w:p>
      <w:pPr>
        <w:spacing w:after="120" w:before="120" w:line="264"/>
        <w:ind w:left="720" w:right="720"/>
        <w:jc w:val="both"/>
      </w:pPr>
      <w:r>
        <w:rPr>
          <w:rFonts w:ascii="Palatino Linotype" w:cs="Palatino Linotype" w:eastAsia="Palatino Linotype" w:hAnsi="Palatino Linotype"/>
          <w:i/>
          <w:iCs/>
          <w:color w:val="333333"/>
          <w:sz w:val="19"/>
          <w:szCs w:val="19"/>
        </w:rPr>
        <w:t xml:space="preserve">The tradition has been circling this question for 2,500 years. The formal tools to approach it — Kolmogorov complexity, information geometry, gauge symmetry, neuroaesthetics, minimum description length, Self-Organised Criticality — became available only in the twentieth century. The question has never been more answerable, and has never been formally attempted.</w:t>
      </w:r>
    </w:p>
    <w:p>
      <w:pPr>
        <w:spacing w:after="240"/>
      </w:pPr>
    </w:p>
    <w:p>
      <w:pPr>
        <w:pStyle w:val="Heading1"/>
        <w:spacing w:after="140" w:before="320"/>
      </w:pPr>
      <w:r>
        <w:rPr>
          <w:rFonts w:ascii="Palatino Linotype" w:cs="Palatino Linotype" w:eastAsia="Palatino Linotype" w:hAnsi="Palatino Linotype"/>
        </w:rPr>
        <w:t xml:space="preserve">XIII.  Conclusion</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This article has applied the Method of Frontier Knowledge to the philosophy of beauty with the following cumulative results.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negative space map identified seven gaps no prior tradition has formally occupied: no structural derivation of beauty's object-side properties, no formal k* specification, no formal account of perceiver bandwidth, no cross-domain unification with variable operationalisation, no inversion theorem with empirically distinct predictions for ugliness, no derivation of the beauty–truth identity, and no account of whether that identity extends beyond formal theories to non-theoretical objects.</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The silent assumption — that beauty is relational — was identified and reversed. The compositional inversion generated: the Constitutive Beauty Formula B = f(S, I, T); the formal k* specification with explicit equations and statistical fractal qualification; the Ugliness Inversion Theorem B − T = −B reframed as a broken compression promise; the Subject Resolution Variable R_s with the B_perceived formula and the calibration asymmetry theorem; four formally-bounded extension theorems (Temporal Saturation, Aesthetic Cycle, Ruin Beauty, Generalised k*); the initial Beauty–Truth derivation B(T) ∝ P(T)/K(T) extended to GC(x) = G(x)/K(x) with three concrete operationalisation methods for G(x); the Aesthetic Engine as an implementable corollary; and the Criticality-Beauty Correspondence connecting k* to Self-Organised Criticality as physical grounding for the entire framework.</w:t>
      </w:r>
    </w:p>
    <w:p>
      <w:pPr>
        <w:spacing w:after="160" w:line="280" w:lineRule="auto"/>
        <w:jc w:val="both"/>
      </w:pPr>
      <w:r>
        <w:rPr>
          <w:rFonts w:ascii="Palatino Linotype" w:cs="Palatino Linotype" w:eastAsia="Palatino Linotype" w:hAnsi="Palatino Linotype"/>
          <w:b w:val="false"/>
          <w:bCs w:val="false"/>
          <w:i w:val="false"/>
          <w:iCs w:val="false"/>
          <w:color w:val="1C1C1C"/>
          <w:sz w:val="20"/>
          <w:szCs w:val="20"/>
        </w:rPr>
        <w:t xml:space="preserve">Five disciplines confirmed the hypothesis structurally, each with domain-specific operationalisation. Nine falsifiable predictions were stated with specific experimental designs. The deepest open question — the beauty–truth identity — was formally stated, given an initial derivation, extended in scope to all aesthetic objects, and connected to the physical theory of critical-point dynamics.</w:t>
      </w:r>
    </w:p>
    <w:p>
      <w:pPr>
        <w:spacing w:after="120" w:before="120" w:line="264"/>
        <w:ind w:left="720" w:right="720"/>
        <w:jc w:val="both"/>
      </w:pPr>
      <w:r>
        <w:rPr>
          <w:rFonts w:ascii="Palatino Linotype" w:cs="Palatino Linotype" w:eastAsia="Palatino Linotype" w:hAnsi="Palatino Linotype"/>
          <w:i/>
          <w:iCs/>
          <w:color w:val="333333"/>
          <w:sz w:val="19"/>
          <w:szCs w:val="19"/>
        </w:rPr>
        <w:t xml:space="preserve">The silence in the tradition was not an oversight. It was an invitation. This article has entered it.</w:t>
      </w:r>
    </w:p>
    <w:p>
      <w:pPr>
        <w:spacing w:after="240"/>
      </w:pPr>
    </w:p>
    <w:p>
      <w:pPr>
        <w:pStyle w:val="Heading1"/>
        <w:spacing w:after="140" w:before="320"/>
      </w:pPr>
      <w:r>
        <w:rPr>
          <w:rFonts w:ascii="Palatino Linotype" w:cs="Palatino Linotype" w:eastAsia="Palatino Linotype" w:hAnsi="Palatino Linotype"/>
        </w:rPr>
        <w:t xml:space="preserve">References</w:t>
      </w:r>
    </w:p>
    <w:p>
      <w:pPr>
        <w:spacing w:after="80" w:line="252"/>
        <w:ind w:left="360" w:hanging="360"/>
        <w:jc w:val="both"/>
      </w:pPr>
      <w:r>
        <w:rPr>
          <w:rFonts w:ascii="Palatino Linotype" w:cs="Palatino Linotype" w:eastAsia="Palatino Linotype" w:hAnsi="Palatino Linotype"/>
          <w:sz w:val="18"/>
          <w:szCs w:val="18"/>
        </w:rPr>
        <w:t xml:space="preserve">Aks, D. J., &amp; Sprott, J. C. (1996). Quantifying aesthetic preference for chaotic patterns. Empirical Studies of the Arts, 14(1), 1–16.</w:t>
      </w:r>
    </w:p>
    <w:p>
      <w:pPr>
        <w:spacing w:after="80" w:line="252"/>
        <w:ind w:left="360" w:hanging="360"/>
        <w:jc w:val="both"/>
      </w:pPr>
      <w:r>
        <w:rPr>
          <w:rFonts w:ascii="Palatino Linotype" w:cs="Palatino Linotype" w:eastAsia="Palatino Linotype" w:hAnsi="Palatino Linotype"/>
          <w:sz w:val="18"/>
          <w:szCs w:val="18"/>
        </w:rPr>
        <w:t xml:space="preserve">Bak, P., Tang, C., &amp; Wiesenfeld, K. (1987). Self-organized criticality: an explanation of 1/f noise. Physical Review Letters, 59(4), 381–384.</w:t>
      </w:r>
    </w:p>
    <w:p>
      <w:pPr>
        <w:spacing w:after="80" w:line="252"/>
        <w:ind w:left="360" w:hanging="360"/>
        <w:jc w:val="both"/>
      </w:pPr>
      <w:r>
        <w:rPr>
          <w:rFonts w:ascii="Palatino Linotype" w:cs="Palatino Linotype" w:eastAsia="Palatino Linotype" w:hAnsi="Palatino Linotype"/>
          <w:sz w:val="18"/>
          <w:szCs w:val="18"/>
        </w:rPr>
        <w:t xml:space="preserve">Berlyne, D. E. (1970). Novelty, complexity, and hedonic value. Perception &amp; Psychophysics, 8, 279–286.</w:t>
      </w:r>
    </w:p>
    <w:p>
      <w:pPr>
        <w:spacing w:after="80" w:line="252"/>
        <w:ind w:left="360" w:hanging="360"/>
        <w:jc w:val="both"/>
      </w:pPr>
      <w:r>
        <w:rPr>
          <w:rFonts w:ascii="Palatino Linotype" w:cs="Palatino Linotype" w:eastAsia="Palatino Linotype" w:hAnsi="Palatino Linotype"/>
          <w:sz w:val="18"/>
          <w:szCs w:val="18"/>
        </w:rPr>
        <w:t xml:space="preserve">Birkhoff, G. D. (1933). Aesthetic Measure. Harvard University Press.</w:t>
      </w:r>
    </w:p>
    <w:p>
      <w:pPr>
        <w:spacing w:after="80" w:line="252"/>
        <w:ind w:left="360" w:hanging="360"/>
        <w:jc w:val="both"/>
      </w:pPr>
      <w:r>
        <w:rPr>
          <w:rFonts w:ascii="Palatino Linotype" w:cs="Palatino Linotype" w:eastAsia="Palatino Linotype" w:hAnsi="Palatino Linotype"/>
          <w:sz w:val="18"/>
          <w:szCs w:val="18"/>
        </w:rPr>
        <w:t xml:space="preserve">Chatterjee, A., &amp; Vartanian, O. (2014). Neuroaesthetics. Trends in Cognitive Sciences, 18(7), 370–375.</w:t>
      </w:r>
    </w:p>
    <w:p>
      <w:pPr>
        <w:spacing w:after="80" w:line="252"/>
        <w:ind w:left="360" w:hanging="360"/>
        <w:jc w:val="both"/>
      </w:pPr>
      <w:r>
        <w:rPr>
          <w:rFonts w:ascii="Palatino Linotype" w:cs="Palatino Linotype" w:eastAsia="Palatino Linotype" w:hAnsi="Palatino Linotype"/>
          <w:sz w:val="18"/>
          <w:szCs w:val="18"/>
        </w:rPr>
        <w:t xml:space="preserve">Chatterjee, A., &amp; Vartanian, O. (2016). Neuroscience of aesthetics. Annals of the New York Academy of Sciences, 1369(1), 172–194.</w:t>
      </w:r>
    </w:p>
    <w:p>
      <w:pPr>
        <w:spacing w:after="80" w:line="252"/>
        <w:ind w:left="360" w:hanging="360"/>
        <w:jc w:val="both"/>
      </w:pPr>
      <w:r>
        <w:rPr>
          <w:rFonts w:ascii="Palatino Linotype" w:cs="Palatino Linotype" w:eastAsia="Palatino Linotype" w:hAnsi="Palatino Linotype"/>
          <w:sz w:val="18"/>
          <w:szCs w:val="18"/>
        </w:rPr>
        <w:t xml:space="preserve">Douchová, V., &amp; Nešetřil, J. (2016). Birkhoff's aesthetic measure. ResearchGate / Charles University Prague.</w:t>
      </w:r>
    </w:p>
    <w:p>
      <w:pPr>
        <w:spacing w:after="80" w:line="252"/>
        <w:ind w:left="360" w:hanging="360"/>
        <w:jc w:val="both"/>
      </w:pPr>
      <w:r>
        <w:rPr>
          <w:rFonts w:ascii="Palatino Linotype" w:cs="Palatino Linotype" w:eastAsia="Palatino Linotype" w:hAnsi="Palatino Linotype"/>
          <w:sz w:val="18"/>
          <w:szCs w:val="18"/>
        </w:rPr>
        <w:t xml:space="preserve">Hagerhall, C. M., Purcell, T., &amp; Taylor, R. P. (2004). Fractal dimension of landscape silhouette outlines as a predictor of landscape preference. Journal of Environmental Psychology, 24(2), 247–255.</w:t>
      </w:r>
    </w:p>
    <w:p>
      <w:pPr>
        <w:spacing w:after="80" w:line="252"/>
        <w:ind w:left="360" w:hanging="360"/>
        <w:jc w:val="both"/>
      </w:pPr>
      <w:r>
        <w:rPr>
          <w:rFonts w:ascii="Palatino Linotype" w:cs="Palatino Linotype" w:eastAsia="Palatino Linotype" w:hAnsi="Palatino Linotype"/>
          <w:sz w:val="18"/>
          <w:szCs w:val="18"/>
        </w:rPr>
        <w:t xml:space="preserve">Hume, D. (1757). Of the Standard of Taste. In Four Dissertations. Millar.</w:t>
      </w:r>
    </w:p>
    <w:p>
      <w:pPr>
        <w:spacing w:after="80" w:line="252"/>
        <w:ind w:left="360" w:hanging="360"/>
        <w:jc w:val="both"/>
      </w:pPr>
      <w:r>
        <w:rPr>
          <w:rFonts w:ascii="Palatino Linotype" w:cs="Palatino Linotype" w:eastAsia="Palatino Linotype" w:hAnsi="Palatino Linotype"/>
          <w:sz w:val="18"/>
          <w:szCs w:val="18"/>
        </w:rPr>
        <w:t xml:space="preserve">Ishizu, T., &amp; Zeki, S. (2011). Toward a brain-based theory of beauty. PLOS ONE, 6(7), e21852.</w:t>
      </w:r>
    </w:p>
    <w:p>
      <w:pPr>
        <w:spacing w:after="80" w:line="252"/>
        <w:ind w:left="360" w:hanging="360"/>
        <w:jc w:val="both"/>
      </w:pPr>
      <w:r>
        <w:rPr>
          <w:rFonts w:ascii="Palatino Linotype" w:cs="Palatino Linotype" w:eastAsia="Palatino Linotype" w:hAnsi="Palatino Linotype"/>
          <w:sz w:val="18"/>
          <w:szCs w:val="18"/>
        </w:rPr>
        <w:t xml:space="preserve">Kant, I. (1790). Kritik der Urteilskraft [Critique of Judgement]. (J. C. Meredith, Trans., 1911). Oxford University Press.</w:t>
      </w:r>
    </w:p>
    <w:p>
      <w:pPr>
        <w:spacing w:after="80" w:line="252"/>
        <w:ind w:left="360" w:hanging="360"/>
        <w:jc w:val="both"/>
      </w:pPr>
      <w:r>
        <w:rPr>
          <w:rFonts w:ascii="Palatino Linotype" w:cs="Palatino Linotype" w:eastAsia="Palatino Linotype" w:hAnsi="Palatino Linotype"/>
          <w:sz w:val="18"/>
          <w:szCs w:val="18"/>
        </w:rPr>
        <w:t xml:space="preserve">Kolmogorov, A. N. (1965). Three approaches to the quantitative definition of information. Problems of Information Transmission, 1(1), 1–7.</w:t>
      </w:r>
    </w:p>
    <w:p>
      <w:pPr>
        <w:spacing w:after="80" w:line="252"/>
        <w:ind w:left="360" w:hanging="360"/>
        <w:jc w:val="both"/>
      </w:pPr>
      <w:r>
        <w:rPr>
          <w:rFonts w:ascii="Palatino Linotype" w:cs="Palatino Linotype" w:eastAsia="Palatino Linotype" w:hAnsi="Palatino Linotype"/>
          <w:sz w:val="18"/>
          <w:szCs w:val="18"/>
        </w:rPr>
        <w:t xml:space="preserve">Li, M., &amp; Vitányi, P. (1997). An Introduction to Kolmogorov Complexity and Its Applications (2nd ed.). Springer.</w:t>
      </w:r>
    </w:p>
    <w:p>
      <w:pPr>
        <w:spacing w:after="80" w:line="252"/>
        <w:ind w:left="360" w:hanging="360"/>
        <w:jc w:val="both"/>
      </w:pPr>
      <w:r>
        <w:rPr>
          <w:rFonts w:ascii="Palatino Linotype" w:cs="Palatino Linotype" w:eastAsia="Palatino Linotype" w:hAnsi="Palatino Linotype"/>
          <w:sz w:val="18"/>
          <w:szCs w:val="18"/>
        </w:rPr>
        <w:t xml:space="preserve">Mandelbrot, B. B. (1977). The Fractal Geometry of Nature. Freeman.</w:t>
      </w:r>
    </w:p>
    <w:p>
      <w:pPr>
        <w:spacing w:after="80" w:line="252"/>
        <w:ind w:left="360" w:hanging="360"/>
        <w:jc w:val="both"/>
      </w:pPr>
      <w:r>
        <w:rPr>
          <w:rFonts w:ascii="Palatino Linotype" w:cs="Palatino Linotype" w:eastAsia="Palatino Linotype" w:hAnsi="Palatino Linotype"/>
          <w:sz w:val="18"/>
          <w:szCs w:val="18"/>
        </w:rPr>
        <w:t xml:space="preserve">Mattos, J. C. de (2023). Filosofia das Virtudes — Manifesto das Virtudes. Rio de Janeiro.</w:t>
      </w:r>
    </w:p>
    <w:p>
      <w:pPr>
        <w:spacing w:after="80" w:line="252"/>
        <w:ind w:left="360" w:hanging="360"/>
        <w:jc w:val="both"/>
      </w:pPr>
      <w:r>
        <w:rPr>
          <w:rFonts w:ascii="Palatino Linotype" w:cs="Palatino Linotype" w:eastAsia="Palatino Linotype" w:hAnsi="Palatino Linotype"/>
          <w:sz w:val="18"/>
          <w:szCs w:val="18"/>
        </w:rPr>
        <w:t xml:space="preserve">Mattos, J. C. de (2026). The Method of Frontier Knowledge. Filosofia das Virtudes, Merano.</w:t>
      </w:r>
    </w:p>
    <w:p>
      <w:pPr>
        <w:spacing w:after="80" w:line="252"/>
        <w:ind w:left="360" w:hanging="360"/>
        <w:jc w:val="both"/>
      </w:pPr>
      <w:r>
        <w:rPr>
          <w:rFonts w:ascii="Palatino Linotype" w:cs="Palatino Linotype" w:eastAsia="Palatino Linotype" w:hAnsi="Palatino Linotype"/>
          <w:sz w:val="18"/>
          <w:szCs w:val="18"/>
        </w:rPr>
        <w:t xml:space="preserve">Noether, E. (1915). Invariante Variationsprobleme. Nachrichten von der Gesellschaft der Wissenschaften zu Göttingen, 235–257.</w:t>
      </w:r>
    </w:p>
    <w:p>
      <w:pPr>
        <w:spacing w:after="80" w:line="252"/>
        <w:ind w:left="360" w:hanging="360"/>
        <w:jc w:val="both"/>
      </w:pPr>
      <w:r>
        <w:rPr>
          <w:rFonts w:ascii="Palatino Linotype" w:cs="Palatino Linotype" w:eastAsia="Palatino Linotype" w:hAnsi="Palatino Linotype"/>
          <w:sz w:val="18"/>
          <w:szCs w:val="18"/>
        </w:rPr>
        <w:t xml:space="preserve">Penrose, R. (2004). The Road to Reality: A Complete Guide to the Laws of the Universe. Jonathan Cape.</w:t>
      </w:r>
    </w:p>
    <w:p>
      <w:pPr>
        <w:spacing w:after="80" w:line="252"/>
        <w:ind w:left="360" w:hanging="360"/>
        <w:jc w:val="both"/>
      </w:pPr>
      <w:r>
        <w:rPr>
          <w:rFonts w:ascii="Palatino Linotype" w:cs="Palatino Linotype" w:eastAsia="Palatino Linotype" w:hAnsi="Palatino Linotype"/>
          <w:sz w:val="18"/>
          <w:szCs w:val="18"/>
        </w:rPr>
        <w:t xml:space="preserve">Plato. (ca. 370 BCE). Symposium; Phaedrus. (B. Jowett, Trans.). Clarendon Press.</w:t>
      </w:r>
    </w:p>
    <w:p>
      <w:pPr>
        <w:spacing w:after="80" w:line="252"/>
        <w:ind w:left="360" w:hanging="360"/>
        <w:jc w:val="both"/>
      </w:pPr>
      <w:r>
        <w:rPr>
          <w:rFonts w:ascii="Palatino Linotype" w:cs="Palatino Linotype" w:eastAsia="Palatino Linotype" w:hAnsi="Palatino Linotype"/>
          <w:sz w:val="18"/>
          <w:szCs w:val="18"/>
        </w:rPr>
        <w:t xml:space="preserve">Ramachandran, V. S., &amp; Hirstein, W. (1999). The science of art: A neurological theory of aesthetic experience. Journal of Consciousness Studies, 6(6–7), 15–51.</w:t>
      </w:r>
    </w:p>
    <w:p>
      <w:pPr>
        <w:spacing w:after="80" w:line="252"/>
        <w:ind w:left="360" w:hanging="360"/>
        <w:jc w:val="both"/>
      </w:pPr>
      <w:r>
        <w:rPr>
          <w:rFonts w:ascii="Palatino Linotype" w:cs="Palatino Linotype" w:eastAsia="Palatino Linotype" w:hAnsi="Palatino Linotype"/>
          <w:sz w:val="18"/>
          <w:szCs w:val="18"/>
        </w:rPr>
        <w:t xml:space="preserve">Rasche, C., et al. (2023). Parametric beauty-coding in mOFC field A1. Neuroscience of Aesthetics (preprint).</w:t>
      </w:r>
    </w:p>
    <w:p>
      <w:pPr>
        <w:spacing w:after="80" w:line="252"/>
        <w:ind w:left="360" w:hanging="360"/>
        <w:jc w:val="both"/>
      </w:pPr>
      <w:r>
        <w:rPr>
          <w:rFonts w:ascii="Palatino Linotype" w:cs="Palatino Linotype" w:eastAsia="Palatino Linotype" w:hAnsi="Palatino Linotype"/>
          <w:sz w:val="18"/>
          <w:szCs w:val="18"/>
        </w:rPr>
        <w:t xml:space="preserve">Rasche, C., et al. (2024). A single continuous beauty–ugliness dimension in the mOFC. Frontiers in Human Neuroscience.</w:t>
      </w:r>
    </w:p>
    <w:p>
      <w:pPr>
        <w:spacing w:after="80" w:line="252"/>
        <w:ind w:left="360" w:hanging="360"/>
        <w:jc w:val="both"/>
      </w:pPr>
      <w:r>
        <w:rPr>
          <w:rFonts w:ascii="Palatino Linotype" w:cs="Palatino Linotype" w:eastAsia="Palatino Linotype" w:hAnsi="Palatino Linotype"/>
          <w:sz w:val="18"/>
          <w:szCs w:val="18"/>
        </w:rPr>
        <w:t xml:space="preserve">Rissanen, J. (1978). Modeling by the shortest data description. Automatica, 14(5), 465–471.</w:t>
      </w:r>
    </w:p>
    <w:p>
      <w:pPr>
        <w:spacing w:after="80" w:line="252"/>
        <w:ind w:left="360" w:hanging="360"/>
        <w:jc w:val="both"/>
      </w:pPr>
      <w:r>
        <w:rPr>
          <w:rFonts w:ascii="Palatino Linotype" w:cs="Palatino Linotype" w:eastAsia="Palatino Linotype" w:hAnsi="Palatino Linotype"/>
          <w:sz w:val="18"/>
          <w:szCs w:val="18"/>
        </w:rPr>
        <w:t xml:space="preserve">Spehar, B., Clifford, C. W. G., Newell, B. R., &amp; Taylor, R. P. (2003). Universal aesthetic of fractals. Computers &amp; Graphics, 27(5), 813–820.</w:t>
      </w:r>
    </w:p>
    <w:p>
      <w:pPr>
        <w:spacing w:after="80" w:line="252"/>
        <w:ind w:left="360" w:hanging="360"/>
        <w:jc w:val="both"/>
      </w:pPr>
      <w:r>
        <w:rPr>
          <w:rFonts w:ascii="Palatino Linotype" w:cs="Palatino Linotype" w:eastAsia="Palatino Linotype" w:hAnsi="Palatino Linotype"/>
          <w:sz w:val="18"/>
          <w:szCs w:val="18"/>
        </w:rPr>
        <w:t xml:space="preserve">Spehar, B., &amp; Taylor, R. P. (2013). Fractals in art and nature: why do we like them? SPIE Human Vision and Electronic Imaging XVIII.</w:t>
      </w:r>
    </w:p>
    <w:p>
      <w:pPr>
        <w:spacing w:after="80" w:line="252"/>
        <w:ind w:left="360" w:hanging="360"/>
        <w:jc w:val="both"/>
      </w:pPr>
      <w:r>
        <w:rPr>
          <w:rFonts w:ascii="Palatino Linotype" w:cs="Palatino Linotype" w:eastAsia="Palatino Linotype" w:hAnsi="Palatino Linotype"/>
          <w:sz w:val="18"/>
          <w:szCs w:val="18"/>
        </w:rPr>
        <w:t xml:space="preserve">Stewart, I. (2007). Why Beauty Is Truth: A History of Symmetry. Basic Books.</w:t>
      </w:r>
    </w:p>
    <w:p>
      <w:pPr>
        <w:spacing w:after="80" w:line="252"/>
        <w:ind w:left="360" w:hanging="360"/>
        <w:jc w:val="both"/>
      </w:pPr>
      <w:r>
        <w:rPr>
          <w:rFonts w:ascii="Palatino Linotype" w:cs="Palatino Linotype" w:eastAsia="Palatino Linotype" w:hAnsi="Palatino Linotype"/>
          <w:sz w:val="18"/>
          <w:szCs w:val="18"/>
        </w:rPr>
        <w:t xml:space="preserve">Street, N., et al. (2016). A complex story: Universal preference vs. individual differences shaping aesthetic response to fractal patterns. Frontiers in Human Neuroscience, 10, 213.</w:t>
      </w:r>
    </w:p>
    <w:p>
      <w:pPr>
        <w:spacing w:after="80" w:line="252"/>
        <w:ind w:left="360" w:hanging="360"/>
        <w:jc w:val="both"/>
      </w:pPr>
      <w:r>
        <w:rPr>
          <w:rFonts w:ascii="Palatino Linotype" w:cs="Palatino Linotype" w:eastAsia="Palatino Linotype" w:hAnsi="Palatino Linotype"/>
          <w:sz w:val="18"/>
          <w:szCs w:val="18"/>
        </w:rPr>
        <w:t xml:space="preserve">Taylor, R. P., Micolich, A. P., &amp; Jonas, D. (1999). Fractal expressionism. Physics World, 12(10), 25–28.</w:t>
      </w:r>
    </w:p>
    <w:p>
      <w:pPr>
        <w:spacing w:after="80" w:line="252"/>
        <w:ind w:left="360" w:hanging="360"/>
        <w:jc w:val="both"/>
      </w:pPr>
      <w:r>
        <w:rPr>
          <w:rFonts w:ascii="Palatino Linotype" w:cs="Palatino Linotype" w:eastAsia="Palatino Linotype" w:hAnsi="Palatino Linotype"/>
          <w:sz w:val="18"/>
          <w:szCs w:val="18"/>
        </w:rPr>
        <w:t xml:space="preserve">Voss, R. F., &amp; Clarke, J. (1975). '1/f noise' in music and speech. Nature, 258, 317–318.</w:t>
      </w:r>
    </w:p>
    <w:p>
      <w:pPr>
        <w:spacing w:after="80" w:line="252"/>
        <w:ind w:left="360" w:hanging="360"/>
        <w:jc w:val="both"/>
      </w:pPr>
      <w:r>
        <w:rPr>
          <w:rFonts w:ascii="Palatino Linotype" w:cs="Palatino Linotype" w:eastAsia="Palatino Linotype" w:hAnsi="Palatino Linotype"/>
          <w:sz w:val="18"/>
          <w:szCs w:val="18"/>
        </w:rPr>
        <w:t xml:space="preserve">Weyl, H. (1952). Symmetry. Princeton University Press.</w:t>
      </w:r>
    </w:p>
    <w:p>
      <w:pPr>
        <w:spacing w:after="80" w:line="252"/>
        <w:ind w:left="360" w:hanging="360"/>
        <w:jc w:val="both"/>
      </w:pPr>
      <w:r>
        <w:rPr>
          <w:rFonts w:ascii="Palatino Linotype" w:cs="Palatino Linotype" w:eastAsia="Palatino Linotype" w:hAnsi="Palatino Linotype"/>
          <w:sz w:val="18"/>
          <w:szCs w:val="18"/>
        </w:rPr>
        <w:t xml:space="preserve">Zajonc, R. B. (1968). Attitudinal effects of mere exposure. Journal of Personality and Social Psychology Monograph Supplement, 9(2), 1–27.</w:t>
      </w:r>
    </w:p>
    <w:p>
      <w:pPr>
        <w:spacing w:after="80" w:line="252"/>
        <w:ind w:left="360" w:hanging="360"/>
        <w:jc w:val="both"/>
      </w:pPr>
      <w:r>
        <w:rPr>
          <w:rFonts w:ascii="Palatino Linotype" w:cs="Palatino Linotype" w:eastAsia="Palatino Linotype" w:hAnsi="Palatino Linotype"/>
          <w:sz w:val="18"/>
          <w:szCs w:val="18"/>
        </w:rPr>
        <w:t xml:space="preserve">Zeki, S. (1999). Inner Vision: An Exploration of Art and the Brain. Oxford University Press.</w:t>
      </w:r>
    </w:p>
    <w:p>
      <w:pPr>
        <w:spacing w:after="80" w:line="252"/>
        <w:ind w:left="360" w:hanging="360"/>
        <w:jc w:val="both"/>
      </w:pPr>
      <w:r>
        <w:rPr>
          <w:rFonts w:ascii="Palatino Linotype" w:cs="Palatino Linotype" w:eastAsia="Palatino Linotype" w:hAnsi="Palatino Linotype"/>
          <w:sz w:val="18"/>
          <w:szCs w:val="18"/>
        </w:rPr>
        <w:t xml:space="preserve">Zeki, S. (2011). Splendours and Miseries of the Brain: Love, Creativity and the Quest for Human Happiness. Wiley-Blackwell.</w:t>
      </w:r>
    </w:p>
    <w:p>
      <w:pPr>
        <w:spacing w:after="80" w:line="252"/>
        <w:ind w:left="360" w:hanging="360"/>
        <w:jc w:val="both"/>
      </w:pPr>
      <w:r>
        <w:rPr>
          <w:rFonts w:ascii="Palatino Linotype" w:cs="Palatino Linotype" w:eastAsia="Palatino Linotype" w:hAnsi="Palatino Linotype"/>
          <w:sz w:val="18"/>
          <w:szCs w:val="18"/>
        </w:rPr>
        <w:t xml:space="preserve">Zipf, G. K. (1949). Human Behaviour and the Principle of Least Effort. Addison-Wesley.</w:t>
      </w:r>
    </w:p>
    <w:p>
      <w:pPr>
        <w:spacing w:after="200"/>
      </w:pPr>
    </w:p>
    <w:p>
      <w:pPr>
        <w:spacing w:after="60" w:line="280" w:lineRule="auto"/>
        <w:jc w:val="center"/>
      </w:pPr>
      <w:r>
        <w:rPr>
          <w:rFonts w:ascii="Palatino Linotype" w:cs="Palatino Linotype" w:eastAsia="Palatino Linotype" w:hAnsi="Palatino Linotype"/>
          <w:b w:val="false"/>
          <w:bCs w:val="false"/>
          <w:i/>
          <w:iCs/>
          <w:color w:val="888888"/>
          <w:sz w:val="18"/>
          <w:szCs w:val="18"/>
        </w:rPr>
        <w:t xml:space="preserve">© 2026 José Caetano de Mattos · Filosofia das Virtudes</w:t>
      </w:r>
    </w:p>
    <w:p>
      <w:pPr>
        <w:spacing w:after="0" w:line="280" w:lineRule="auto"/>
        <w:jc w:val="center"/>
      </w:pPr>
      <w:r>
        <w:rPr>
          <w:rFonts w:ascii="Palatino Linotype" w:cs="Palatino Linotype" w:eastAsia="Palatino Linotype" w:hAnsi="Palatino Linotype"/>
          <w:b w:val="false"/>
          <w:bCs w:val="false"/>
          <w:i w:val="false"/>
          <w:iCs w:val="false"/>
          <w:color w:val="888888"/>
          <w:sz w:val="16"/>
          <w:szCs w:val="16"/>
        </w:rPr>
        <w:t xml:space="preserve">Merano / Rio de Janeiro</w:t>
      </w:r>
    </w:p>
    <w:sectPr>
      <w:pgSz w:w="11906" w:h="16838"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cs="Palatino Linotype" w:eastAsia="Palatino Linotype" w:hAnsi="Palatino Linotype"/>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Palatino Linotype" w:cs="Palatino Linotype" w:eastAsia="Palatino Linotype" w:hAnsi="Palatino Linotype"/>
      <w:b/>
      <w:bCs/>
      <w:color w:val="1A1A6E"/>
      <w:sz w:val="28"/>
      <w:szCs w:val="28"/>
    </w:rPr>
  </w:style>
  <w:style w:type="paragraph" w:styleId="Heading2">
    <w:name w:val="Heading 2"/>
    <w:basedOn w:val="Normal"/>
    <w:next w:val="Normal"/>
    <w:qFormat/>
    <w:pPr>
      <w:spacing w:after="100" w:before="220"/>
      <w:outlineLvl w:val="1"/>
    </w:pPr>
    <w:rPr>
      <w:rFonts w:ascii="Palatino Linotype" w:cs="Palatino Linotype" w:eastAsia="Palatino Linotype" w:hAnsi="Palatino Linotype"/>
      <w:b/>
      <w:bCs/>
      <w:color w:val="2E3192"/>
      <w:sz w:val="22"/>
      <w:szCs w:val="22"/>
    </w:rPr>
  </w:style>
  <w:style w:type="paragraph" w:styleId="Heading3">
    <w:name w:val="Heading 3"/>
    <w:basedOn w:val="Normal"/>
    <w:next w:val="Normal"/>
    <w:qFormat/>
    <w:pPr>
      <w:spacing w:after="80" w:before="160"/>
      <w:outlineLvl w:val="2"/>
    </w:pPr>
    <w:rPr>
      <w:rFonts w:ascii="Palatino Linotype" w:cs="Palatino Linotype" w:eastAsia="Palatino Linotype" w:hAnsi="Palatino Linotype"/>
      <w:b/>
      <w:bCs/>
      <w:i/>
      <w:iCs/>
      <w:color w:val="4A5898"/>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2026-05-12T12:03:53.267Z</dcterms:created>
  <dcterms:modified xsi:type="dcterms:W3CDTF">2026-05-12T12:03:53.285Z</dcterms:modified>
</cp:coreProperties>
</file>

<file path=docProps/custom.xml><?xml version="1.0" encoding="utf-8"?>
<Properties xmlns="http://schemas.openxmlformats.org/officeDocument/2006/custom-properties" xmlns:vt="http://schemas.openxmlformats.org/officeDocument/2006/docPropsVTypes"/>
</file>