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t xml:space="preserve"/>
      </w:r>
    </w:p>
    <w:p>
      <w:pPr>
        <w:spacing w:before="0" w:after="0"/>
      </w:pPr>
      <w:r>
        <w:t xml:space="preserve"/>
      </w:r>
    </w:p>
    <w:p>
      <w:pPr>
        <w:spacing w:before="480" w:after="100"/>
        <w:jc w:val="center"/>
      </w:pPr>
      <w:r>
        <w:rPr>
          <w:rFonts w:ascii="Arial" w:cs="Arial" w:eastAsia="Arial" w:hAnsi="Arial"/>
          <w:b/>
          <w:bCs/>
          <w:color w:val="8B6914"/>
          <w:sz w:val="28"/>
          <w:szCs w:val="28"/>
        </w:rPr>
        <w:t xml:space="preserve">THEOLOGICAL ANALYSIS</w:t>
      </w:r>
    </w:p>
    <w:p>
      <w:pPr>
        <w:spacing w:before="80" w:after="80"/>
        <w:jc w:val="center"/>
      </w:pPr>
      <w:r>
        <w:rPr>
          <w:rFonts w:ascii="Arial" w:cs="Arial" w:eastAsia="Arial" w:hAnsi="Arial"/>
          <w:b/>
          <w:bCs/>
          <w:i/>
          <w:iCs/>
          <w:color w:val="1A3558"/>
          <w:sz w:val="54"/>
          <w:szCs w:val="54"/>
        </w:rPr>
        <w:t xml:space="preserve">Filosofia das Virtudes</w:t>
      </w:r>
    </w:p>
    <w:p>
      <w:pPr>
        <w:spacing w:before="60" w:after="60"/>
        <w:jc w:val="center"/>
      </w:pPr>
      <w:r>
        <w:rPr>
          <w:rFonts w:ascii="Arial" w:cs="Arial" w:eastAsia="Arial" w:hAnsi="Arial"/>
          <w:i/>
          <w:iCs/>
          <w:color w:val="555555"/>
          <w:sz w:val="28"/>
          <w:szCs w:val="28"/>
        </w:rPr>
        <w:t xml:space="preserve">(Philosophy of Virtues)</w:t>
      </w:r>
    </w:p>
    <w:p>
      <w:pPr>
        <w:spacing w:before="140" w:after="60"/>
        <w:jc w:val="center"/>
      </w:pPr>
      <w:r>
        <w:rPr>
          <w:rFonts w:ascii="Arial" w:cs="Arial" w:eastAsia="Arial" w:hAnsi="Arial"/>
          <w:b/>
          <w:bCs/>
          <w:color w:val="444444"/>
          <w:sz w:val="22"/>
          <w:szCs w:val="22"/>
        </w:rPr>
        <w:t xml:space="preserve">José Caetano de Mattos  |  Rio de Janeiro, 2023</w:t>
      </w:r>
    </w:p>
    <w:p>
      <w:pPr>
        <w:spacing w:before="0" w:after="0"/>
      </w:pPr>
      <w:r>
        <w:t xml:space="preserve"/>
      </w:r>
    </w:p>
    <w:p>
      <w:pPr>
        <w:pBdr>
          <w:bottom w:val="single" w:color="8B6914" w:sz="6" w:space="1"/>
        </w:pBdr>
        <w:spacing w:before="120" w:after="120"/>
      </w:pPr>
      <w:r>
        <w:t xml:space="preserve"/>
      </w:r>
    </w:p>
    <w:p>
      <w:pPr>
        <w:spacing w:before="100" w:after="100"/>
        <w:jc w:val="center"/>
      </w:pPr>
      <w:r>
        <w:rPr>
          <w:rFonts w:ascii="Arial" w:cs="Arial" w:eastAsia="Arial" w:hAnsi="Arial"/>
          <w:b/>
          <w:bCs/>
          <w:i/>
          <w:iCs/>
          <w:color w:val="2C5F8A"/>
          <w:sz w:val="25"/>
          <w:szCs w:val="25"/>
        </w:rPr>
        <w:t xml:space="preserve">Innovations and Originalities Compared with Classical Global Theology</w:t>
      </w:r>
    </w:p>
    <w:p>
      <w:pPr>
        <w:pBdr>
          <w:bottom w:val="single" w:color="8B6914" w:sz="6" w:space="1"/>
        </w:pBdr>
        <w:spacing w:before="120" w:after="120"/>
      </w:pPr>
      <w:r>
        <w:t xml:space="preserve"/>
      </w:r>
    </w:p>
    <w:p>
      <w:pPr>
        <w:spacing w:before="0" w:after="0"/>
      </w:pPr>
      <w:r>
        <w:t xml:space="preserve"/>
      </w:r>
    </w:p>
    <w:p>
      <w:pPr>
        <w:spacing w:before="0" w:after="0"/>
      </w:pPr>
      <w:r>
        <w:t xml:space="preserve"/>
      </w:r>
    </w:p>
    <w:p>
      <w:pPr>
        <w:pStyle w:val="Heading1"/>
        <w:spacing w:before="400" w:after="160"/>
      </w:pPr>
      <w:r>
        <w:rPr>
          <w:rFonts w:ascii="Arial" w:cs="Arial" w:eastAsia="Arial" w:hAnsi="Arial"/>
          <w:b/>
          <w:bCs/>
          <w:color w:val="1A3558"/>
          <w:sz w:val="34"/>
          <w:szCs w:val="34"/>
        </w:rPr>
        <w:t xml:space="preserve">1. Theological Scope of the Book</w:t>
      </w:r>
    </w:p>
    <w:p>
      <w:pPr>
        <w:spacing w:before="80" w:after="120" w:line="276"/>
        <w:jc w:val="both"/>
      </w:pPr>
      <w:r>
        <w:rPr>
          <w:rFonts w:ascii="Arial" w:cs="Arial" w:eastAsia="Arial" w:hAnsi="Arial"/>
          <w:i w:val="false"/>
          <w:iCs w:val="false"/>
          <w:sz w:val="22"/>
          <w:szCs w:val="22"/>
        </w:rPr>
        <w:t xml:space="preserve">Filosofia das Virtudes is not a work of systematic theology in the academic sense, yet its theological content is pervasive, explicit, and deeply argued. Author José Caetano de Mattos draws freely from Christian theology (Catholic and Protestant), natural theology, mysticism, Jewish ethics, Islamic tradition, Buddhism, Confucianism, and quantum-physics-informed spirituality, in a conscious attempt to identify the universal theological core beneath all religious traditions.</w:t>
      </w:r>
    </w:p>
    <w:p>
      <w:pPr>
        <w:spacing w:before="80" w:after="120" w:line="276"/>
        <w:jc w:val="both"/>
      </w:pPr>
      <w:r>
        <w:rPr>
          <w:rFonts w:ascii="Arial" w:cs="Arial" w:eastAsia="Arial" w:hAnsi="Arial"/>
          <w:i w:val="false"/>
          <w:iCs w:val="false"/>
          <w:sz w:val="22"/>
          <w:szCs w:val="22"/>
        </w:rPr>
        <w:t xml:space="preserve">The book explicitly engages with figures such as Jesus Christ, St. Augustine, St. Thomas Aquinas, Siddhartha Gautama, Muhammad, Moses, and Confucius, claiming that the Universal Human Virtues represent the distilled essence — the theological intersection — of all their teachings. The author states: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'The best of these men and their doctrines is found in the Universal Virtues.'</w:t>
      </w:r>
    </w:p>
    <w:p>
      <w:pPr>
        <w:spacing w:before="80" w:after="120" w:line="276"/>
        <w:jc w:val="both"/>
      </w:pPr>
      <w:r>
        <w:rPr>
          <w:rFonts w:ascii="Arial" w:cs="Arial" w:eastAsia="Arial" w:hAnsi="Arial"/>
          <w:i w:val="false"/>
          <w:iCs w:val="false"/>
          <w:sz w:val="22"/>
          <w:szCs w:val="22"/>
        </w:rPr>
        <w:t xml:space="preserve">The theological analysis that follows examines each major doctrinal innovation against the classical bibliography of Christian theology, natural theology, mysticism, comparative religion, and contemporary theological discourse.</w:t>
      </w:r>
    </w:p>
    <w:p>
      <w:pPr>
        <w:spacing w:before="0" w:after="0"/>
      </w:pPr>
      <w:r>
        <w:t xml:space="preserve"/>
      </w:r>
    </w:p>
    <w:p>
      <w:pPr>
        <w:pStyle w:val="Heading1"/>
        <w:spacing w:before="400" w:after="160"/>
      </w:pPr>
      <w:r>
        <w:rPr>
          <w:rFonts w:ascii="Arial" w:cs="Arial" w:eastAsia="Arial" w:hAnsi="Arial"/>
          <w:b/>
          <w:bCs/>
          <w:color w:val="1A3558"/>
          <w:sz w:val="34"/>
          <w:szCs w:val="34"/>
        </w:rPr>
        <w:t xml:space="preserve">2. Theological Innovations and Originalities</w:t>
      </w:r>
    </w:p>
    <w:p>
      <w:pPr>
        <w:pStyle w:val="Heading2"/>
        <w:spacing w:before="300" w:after="120"/>
      </w:pPr>
      <w:r>
        <w:rPr>
          <w:rFonts w:ascii="Arial" w:cs="Arial" w:eastAsia="Arial" w:hAnsi="Arial"/>
          <w:b/>
          <w:bCs/>
          <w:color w:val="2C5F8A"/>
          <w:sz w:val="27"/>
          <w:szCs w:val="27"/>
        </w:rPr>
        <w:t xml:space="preserve">2.1  God as Freedom: A Radically New Divine Attribute</w:t>
      </w:r>
    </w:p>
    <w:p>
      <w:pPr>
        <w:spacing w:before="80" w:after="120" w:line="276"/>
        <w:jc w:val="both"/>
      </w:pPr>
      <w:r>
        <w:rPr>
          <w:rFonts w:ascii="Arial" w:cs="Arial" w:eastAsia="Arial" w:hAnsi="Arial"/>
          <w:i w:val="false"/>
          <w:iCs w:val="false"/>
          <w:sz w:val="22"/>
          <w:szCs w:val="22"/>
        </w:rPr>
        <w:t xml:space="preserve">In classical Christian theology, the divine attributes are systematically defined: God is omnipotent, omniscient, omnipresent, eternal, immutable, perfectly good, and sovereign. Freedom, while attributed to God (as in the freedom of God's will to create — Aquinas, Summa Theologica I, q. 19), is never proposed as the primary attribute or the essential name of God.</w:t>
      </w:r>
    </w:p>
    <w:p>
      <w:pPr>
        <w:spacing w:before="80" w:after="120" w:line="276"/>
        <w:jc w:val="both"/>
      </w:pPr>
      <w:r>
        <w:rPr>
          <w:rFonts w:ascii="Arial" w:cs="Arial" w:eastAsia="Arial" w:hAnsi="Arial"/>
          <w:i w:val="false"/>
          <w:iCs w:val="false"/>
          <w:sz w:val="22"/>
          <w:szCs w:val="22"/>
        </w:rPr>
        <w:t xml:space="preserve">Mattos makes a sweeping theological claim that has no precedent in the patristic, scholastic, or Reformation traditions: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'God is Freedom.' (Deus é Liberdade.) / 'The very essence of God is Freedom.' (A própria essência de Deus é a Liberdade.)</w:t>
      </w:r>
    </w:p>
    <w:p>
      <w:pPr>
        <w:spacing w:before="80" w:after="120" w:line="276"/>
        <w:jc w:val="both"/>
      </w:pPr>
      <w:r>
        <w:rPr>
          <w:rFonts w:ascii="Arial" w:cs="Arial" w:eastAsia="Arial" w:hAnsi="Arial"/>
          <w:i w:val="false"/>
          <w:iCs w:val="false"/>
          <w:sz w:val="22"/>
          <w:szCs w:val="22"/>
        </w:rPr>
        <w:t xml:space="preserve">This is a formal theological proposition — an identification of God's essence with Freedom itself — that inverts the classical priority. Where Aquinas identified God primarily as Being Itself (ipsum esse subsistens), where Augustine emphasized Love (Deus caritas est, anticipating 1 John 4:8), where Calvin stressed Sovereignty, and where Eastern Orthodoxy emphasizes the Divine Energies and the apophatic God beyond all attributes — Mattos proposes Freedom as the name that best captures divine essence.</w:t>
      </w:r>
    </w:p>
    <w:p>
      <w:pPr>
        <w:spacing w:before="80" w:after="120" w:line="276"/>
        <w:jc w:val="both"/>
      </w:pPr>
      <w:r>
        <w:rPr>
          <w:rFonts w:ascii="Arial" w:cs="Arial" w:eastAsia="Arial" w:hAnsi="Arial"/>
          <w:i w:val="false"/>
          <w:iCs w:val="false"/>
          <w:sz w:val="22"/>
          <w:szCs w:val="22"/>
        </w:rPr>
        <w:t xml:space="preserve">The closest theological antecedent is the tradition of Christian existentialism (Berdyaev, Kierkegaard) where freedom is central to the God-human relationship. Nikolai Berdyaev in particular (The Destiny of Man, 1931) came close to this view, arguing that 'freedom is primary and underived, even in relation to God.' But Berdyaev never identified God simply as Freedom. Process theology (Whitehead, Hartshorne) also emphasizes divine freedom and relatedness, but not as definitional essence.</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Aquinas (God as Pure Being), Augustine (God as Love), Calvin (God as Sovereign), Berdyaev (Freedom as primordial) — all adjacent but none equate God's essence with Freedom.</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Very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2.2  Virtues as the DNA of God: A Genetic Theology</w:t>
      </w:r>
    </w:p>
    <w:p>
      <w:pPr>
        <w:spacing w:before="80" w:after="120" w:line="276"/>
        <w:jc w:val="both"/>
      </w:pPr>
      <w:r>
        <w:rPr>
          <w:rFonts w:ascii="Arial" w:cs="Arial" w:eastAsia="Arial" w:hAnsi="Arial"/>
          <w:i w:val="false"/>
          <w:iCs w:val="false"/>
          <w:sz w:val="22"/>
          <w:szCs w:val="22"/>
        </w:rPr>
        <w:t xml:space="preserve">One of the most striking theological innovations in the book is the metaphor of virtues as the 'DNA of God' — the genetic code through which the divine nature is transmitted to and expressed through humanity. Mattos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'The Virtues are the DNA of God, His genes, transmitted to all men, with Freedom as the fundamental building block.'</w:t>
      </w:r>
    </w:p>
    <w:p>
      <w:pPr>
        <w:spacing w:before="80" w:after="120" w:line="276"/>
        <w:jc w:val="both"/>
      </w:pPr>
      <w:r>
        <w:rPr>
          <w:rFonts w:ascii="Arial" w:cs="Arial" w:eastAsia="Arial" w:hAnsi="Arial"/>
          <w:i w:val="false"/>
          <w:iCs w:val="false"/>
          <w:sz w:val="22"/>
          <w:szCs w:val="22"/>
        </w:rPr>
        <w:t xml:space="preserve">This is a genuinely novel theological metaphor with no precedent in the classical or patristic tradition. The imago Dei doctrine (Genesis 1:26-27, elaborated by Athanasius, Augustine, Aquinas, and Calvin) addresses the image of God in humanity, but uses the language of likeness, image, and participation — not genetic transmission. The concept of divine image has been interpreted intellectually (Aquinas: ratio/intellect), relationally (Barth: being-in-relation), morally (Calvin: original righteousness), and structurally (Moltmann: Trinitarian reflection).</w:t>
      </w:r>
    </w:p>
    <w:p>
      <w:pPr>
        <w:spacing w:before="80" w:after="120" w:line="276"/>
        <w:jc w:val="both"/>
      </w:pPr>
      <w:r>
        <w:rPr>
          <w:rFonts w:ascii="Arial" w:cs="Arial" w:eastAsia="Arial" w:hAnsi="Arial"/>
          <w:i w:val="false"/>
          <w:iCs w:val="false"/>
          <w:sz w:val="22"/>
          <w:szCs w:val="22"/>
        </w:rPr>
        <w:t xml:space="preserve">Mattos's 'genetic' framing is drawn from the language of modern biology and maps the classical doctrine of imago Dei onto a contemporary scientific metaphor. It argues that virtuous behavior across all cultures and all centuries without prior coordination constitutes the empirical trace of a genetic-like transmission from God — a 'proof of divine existence' through behavioral universals.</w:t>
      </w:r>
    </w:p>
    <w:p>
      <w:pPr>
        <w:spacing w:before="80" w:after="120" w:line="276"/>
        <w:jc w:val="both"/>
      </w:pPr>
      <w:r>
        <w:rPr>
          <w:rFonts w:ascii="Arial" w:cs="Arial" w:eastAsia="Arial" w:hAnsi="Arial"/>
          <w:i w:val="false"/>
          <w:iCs w:val="false"/>
          <w:sz w:val="22"/>
          <w:szCs w:val="22"/>
        </w:rPr>
        <w:t xml:space="preserve">The closest theological parallel is Karl Rahner's concept of the 'supernatural existential' — the idea that human nature is always-already oriented toward God as a constitutive feature — and also the Wesleyan doctrine of 'prevenient grace' as a universal endowment preceding conscious faith. However, neither Rahner nor Wesley employed the genetic metaphor or proposed it as evidence for theism.</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Imago Dei (Aquinas, Calvin, Barth), Rahner's supernatural existential, Wesley's prevenient grace — adjacent in logic, entirely distinct in metaphorical register.</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Very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2.3  Each Virtuous Act as a Miracle and a Direct Action of God</w:t>
      </w:r>
    </w:p>
    <w:p>
      <w:pPr>
        <w:spacing w:before="80" w:after="120" w:line="276"/>
        <w:jc w:val="both"/>
      </w:pPr>
      <w:r>
        <w:rPr>
          <w:rFonts w:ascii="Arial" w:cs="Arial" w:eastAsia="Arial" w:hAnsi="Arial"/>
          <w:i w:val="false"/>
          <w:iCs w:val="false"/>
          <w:sz w:val="22"/>
          <w:szCs w:val="22"/>
        </w:rPr>
        <w:t xml:space="preserve">Classical Catholic and Protestant theology distinguishes sharply between the order of nature (governed by secondary causes) and miraculous intervention (a suspension of natural law by primary divine causality — Aquinas, Summa Contra Gentiles III, 100-101). Miracles in this framework are rare, exceptional, and often tied to specific salvific events (the Incarnation, the Resurrection, healings by Christ and the Apostles).</w:t>
      </w:r>
    </w:p>
    <w:p>
      <w:pPr>
        <w:spacing w:before="80" w:after="120" w:line="276"/>
        <w:jc w:val="both"/>
      </w:pPr>
      <w:r>
        <w:rPr>
          <w:rFonts w:ascii="Arial" w:cs="Arial" w:eastAsia="Arial" w:hAnsi="Arial"/>
          <w:i w:val="false"/>
          <w:iCs w:val="false"/>
          <w:sz w:val="22"/>
          <w:szCs w:val="22"/>
        </w:rPr>
        <w:t xml:space="preserve">Mattos proposes a radical democratization and universalization of miracle:</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'Each Virtue in the hand of man is a miracle. Each Virtue is a direct and personified action of God called miracle. The Virtues, or miracles, are intentional actions of God that characterize His presence.'</w:t>
      </w:r>
    </w:p>
    <w:p>
      <w:pPr>
        <w:spacing w:before="80" w:after="120" w:line="276"/>
        <w:jc w:val="both"/>
      </w:pPr>
      <w:r>
        <w:rPr>
          <w:rFonts w:ascii="Arial" w:cs="Arial" w:eastAsia="Arial" w:hAnsi="Arial"/>
          <w:i w:val="false"/>
          <w:iCs w:val="false"/>
          <w:sz w:val="22"/>
          <w:szCs w:val="22"/>
        </w:rPr>
        <w:t xml:space="preserve">This reconfigures the theology of miracle entirely: rather than exceptional events that interrupt nature, miracles become the ordinary texture of virtuous living. Every act of courage, love, honesty, or justice is, in Mattos's framework, simultaneously a human act and a direct divine action — a miracle.</w:t>
      </w:r>
    </w:p>
    <w:p>
      <w:pPr>
        <w:spacing w:before="80" w:after="120" w:line="276"/>
        <w:jc w:val="both"/>
      </w:pPr>
      <w:r>
        <w:rPr>
          <w:rFonts w:ascii="Arial" w:cs="Arial" w:eastAsia="Arial" w:hAnsi="Arial"/>
          <w:i w:val="false"/>
          <w:iCs w:val="false"/>
          <w:sz w:val="22"/>
          <w:szCs w:val="22"/>
        </w:rPr>
        <w:t xml:space="preserve">This bears some resemblance to the medieval mystical tradition, particularly Meister Eckhart's concept of the 'birth of the Word in the soul' — every virtuous act as a renewed theophany. It also resonates with the Sufi concept of the divine presence (tajalli) manifested through the acts of the perfect man (al-insan al-kamil). However, Mattos universalizes this beyond the mystic or the saint to every human being who acts virtuously, and explicitly names each such act a 'miracle.'</w:t>
      </w:r>
    </w:p>
    <w:p>
      <w:pPr>
        <w:spacing w:before="80" w:after="120" w:line="276"/>
        <w:jc w:val="both"/>
      </w:pPr>
      <w:r>
        <w:rPr>
          <w:rFonts w:ascii="Arial" w:cs="Arial" w:eastAsia="Arial" w:hAnsi="Arial"/>
          <w:i w:val="false"/>
          <w:iCs w:val="false"/>
          <w:sz w:val="22"/>
          <w:szCs w:val="22"/>
        </w:rPr>
        <w:t xml:space="preserve">In the Reformed tradition, common grace (John Calvin, Abraham Kuyper) acknowledges God's presence in all human goodness, but stops short of calling it miraculous. In the Catholic tradition, the concept of actual grace operative in every good act (Aquinas, Summa Theologica I-II, q. 109) is theologically adjacent, but is not called a 'miracle.'</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Aquinas (actual grace), Eckhart (Word-birth in the soul), Kuyper (common grace), Sufi tajalli — structurally similar but none define every virtuous act as formally miraculous.</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2.4  Freedom as the Gateway to God: A New Soteriology</w:t>
      </w:r>
    </w:p>
    <w:p>
      <w:pPr>
        <w:spacing w:before="80" w:after="120" w:line="276"/>
        <w:jc w:val="both"/>
      </w:pPr>
      <w:r>
        <w:rPr>
          <w:rFonts w:ascii="Arial" w:cs="Arial" w:eastAsia="Arial" w:hAnsi="Arial"/>
          <w:i w:val="false"/>
          <w:iCs w:val="false"/>
          <w:sz w:val="22"/>
          <w:szCs w:val="22"/>
        </w:rPr>
        <w:t xml:space="preserve">In classical Christian soteriology, the path to God is defined differently across traditions: through faith and grace (Lutheran, Reformed), through sacraments and cooperation with grace (Catholic), through deification/theosis (Eastern Orthodox), through moral perfection (Pelagianism, condemned), or through loving union (mystical theology, Bernard of Clairvaux, John of the Cross).</w:t>
      </w:r>
    </w:p>
    <w:p>
      <w:pPr>
        <w:spacing w:before="80" w:after="120" w:line="276"/>
        <w:jc w:val="both"/>
      </w:pPr>
      <w:r>
        <w:rPr>
          <w:rFonts w:ascii="Arial" w:cs="Arial" w:eastAsia="Arial" w:hAnsi="Arial"/>
          <w:i w:val="false"/>
          <w:iCs w:val="false"/>
          <w:sz w:val="22"/>
          <w:szCs w:val="22"/>
        </w:rPr>
        <w:t xml:space="preserve">Mattos proposes a distinctive soteriology in which Freedom is not merely a condition for the moral life but the actual gateway to God:</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'Only Freedom touches God.' / 'The works of God are realized essentially through free actions. For man to act in the name of God through the Virtues, he must be essentially Free, as God Himself is. One must free oneself in order, truly, to act in God.'</w:t>
      </w:r>
    </w:p>
    <w:p>
      <w:pPr>
        <w:spacing w:before="80" w:after="120" w:line="276"/>
        <w:jc w:val="both"/>
      </w:pPr>
      <w:r>
        <w:rPr>
          <w:rFonts w:ascii="Arial" w:cs="Arial" w:eastAsia="Arial" w:hAnsi="Arial"/>
          <w:i w:val="false"/>
          <w:iCs w:val="false"/>
          <w:sz w:val="22"/>
          <w:szCs w:val="22"/>
        </w:rPr>
        <w:t xml:space="preserve">This is a libertarian soteriology: salvation (understood as closeness to or participation in God) is achieved through the exercise of radical freedom expressed in virtuous action. It bears structural similarity to Pelagianism in its emphasis on free human action, but differs fundamentally in that Mattos does not deny grace — he identifies Freedom itself as the grace. The closest orthodox parallel is the Eastern tradition of synergeia (cooperation between divine and human freedom, especially in Maximus the Confessor and John of Damascus), but Mattos's emphasis is far more libertarian.</w:t>
      </w:r>
    </w:p>
    <w:p>
      <w:pPr>
        <w:spacing w:before="80" w:after="120" w:line="276"/>
        <w:jc w:val="both"/>
      </w:pPr>
      <w:r>
        <w:rPr>
          <w:rFonts w:ascii="Arial" w:cs="Arial" w:eastAsia="Arial" w:hAnsi="Arial"/>
          <w:i w:val="false"/>
          <w:iCs w:val="false"/>
          <w:sz w:val="22"/>
          <w:szCs w:val="22"/>
        </w:rPr>
        <w:t xml:space="preserve">The concept also resonates with Immanuel Kant's moral theology (Religion Within the Bounds of Reason Alone), where God is accessed through moral autonomy. However, Kant's God is a postulate of practical reason; Mattos's God is experientially encountered through virtuous freedom.</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Eastern synergeia (Maximus the Confessor), Kant's moral theology, Wesleyan sanctification — adjacent but the identification of Freedom as the soteriological path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2.5  The Virtuous Person as 'Participant in the Divine' — A Lay Mystical Theology</w:t>
      </w:r>
    </w:p>
    <w:p>
      <w:pPr>
        <w:spacing w:before="80" w:after="120" w:line="276"/>
        <w:jc w:val="both"/>
      </w:pPr>
      <w:r>
        <w:rPr>
          <w:rFonts w:ascii="Arial" w:cs="Arial" w:eastAsia="Arial" w:hAnsi="Arial"/>
          <w:i w:val="false"/>
          <w:iCs w:val="false"/>
          <w:sz w:val="22"/>
          <w:szCs w:val="22"/>
        </w:rPr>
        <w:t xml:space="preserve">Classical mystical theology has always reserved the highest states of union with God for exceptional souls — the mystics, the saints, those advanced in contemplation. The entire edifice of mystical theology from Pseudo-Dionysius the Areopagite's Celestial Hierarchy to John of the Cross's Dark Night of the Soul to Teresa of Avila's Interior Castle presupposes that union with God is the destination of a long, purifying spiritual journey available to the few.</w:t>
      </w:r>
    </w:p>
    <w:p>
      <w:pPr>
        <w:spacing w:before="80" w:after="120" w:line="276"/>
        <w:jc w:val="both"/>
      </w:pPr>
      <w:r>
        <w:rPr>
          <w:rFonts w:ascii="Arial" w:cs="Arial" w:eastAsia="Arial" w:hAnsi="Arial"/>
          <w:i w:val="false"/>
          <w:iCs w:val="false"/>
          <w:sz w:val="22"/>
          <w:szCs w:val="22"/>
        </w:rPr>
        <w:t xml:space="preserve">Mattos proposes that participation in the Divine is not reserved for mystics or saints but is accessible to every person who acts virtuously:</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'The Virtuose is the subject participant in the Divine through the Universal Human Virtues... The Virtuose is the essence and the experience closest to the Divine on Earth.'</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'The Virtuous Man is the hand of God. Man feels God when he acts in Virtue. Man is God in each virtuous behavior.'</w:t>
      </w:r>
    </w:p>
    <w:p>
      <w:pPr>
        <w:spacing w:before="80" w:after="120" w:line="276"/>
        <w:jc w:val="both"/>
      </w:pPr>
      <w:r>
        <w:rPr>
          <w:rFonts w:ascii="Arial" w:cs="Arial" w:eastAsia="Arial" w:hAnsi="Arial"/>
          <w:i w:val="false"/>
          <w:iCs w:val="false"/>
          <w:sz w:val="22"/>
          <w:szCs w:val="22"/>
        </w:rPr>
        <w:t xml:space="preserve">This is a radically democratized mystical theology. The last sentence — 'Man is God in each virtuous behavior' — borders on classical panentheism or even pantheism, though within the context of the book it is clearly an expression of theophanic participation rather than metaphysical identity. It echoes the Eastern Orthodox concept of theosis (deification), most developed by Athanasius ('God became man so that man might become God'), Gregory Palamas (participation in divine energies), and Maximus the Confessor (cosmic deification).</w:t>
      </w:r>
    </w:p>
    <w:p>
      <w:pPr>
        <w:spacing w:before="80" w:after="120" w:line="276"/>
        <w:jc w:val="both"/>
      </w:pPr>
      <w:r>
        <w:rPr>
          <w:rFonts w:ascii="Arial" w:cs="Arial" w:eastAsia="Arial" w:hAnsi="Arial"/>
          <w:i w:val="false"/>
          <w:iCs w:val="false"/>
          <w:sz w:val="22"/>
          <w:szCs w:val="22"/>
        </w:rPr>
        <w:t xml:space="preserve">However, where Orthodox theosis is a liturgical, sacramental, and ascetic process spanning a lifetime, Mattos democratizes it: every virtuous act, by any person, constitutes participation in the Divine. This is a genuinely original — and theologically bold — extension of the deification tradition.</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Athanasius and Palamas (Orthodox theosis), Meister Eckhart (divine birth in the soul), Teilhard de Chardin (cosmic Christ in all) — all adjacent, but Mattos's democratization to every virtuous person is distinctive.</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2.6  A New Proof of God's Existence: Behavioral Universals as Theological Evidence</w:t>
      </w:r>
    </w:p>
    <w:p>
      <w:pPr>
        <w:spacing w:before="80" w:after="120" w:line="276"/>
        <w:jc w:val="both"/>
      </w:pPr>
      <w:r>
        <w:rPr>
          <w:rFonts w:ascii="Arial" w:cs="Arial" w:eastAsia="Arial" w:hAnsi="Arial"/>
          <w:i w:val="false"/>
          <w:iCs w:val="false"/>
          <w:sz w:val="22"/>
          <w:szCs w:val="22"/>
        </w:rPr>
        <w:t xml:space="preserve">The classical proofs of God's existence — the cosmological argument (Aquinas's Five Ways), the ontological argument (Anselm, Descartes, Leibniz), the teleological argument (Paley's watchmaker), and the moral argument (Newman, C.S. Lewis) — have been discussed for centuries. The moral argument is the most relevant here: it argues that the existence of universal moral intuitions points to a divine moral legislator.</w:t>
      </w:r>
    </w:p>
    <w:p>
      <w:pPr>
        <w:spacing w:before="80" w:after="120" w:line="276"/>
        <w:jc w:val="both"/>
      </w:pPr>
      <w:r>
        <w:rPr>
          <w:rFonts w:ascii="Arial" w:cs="Arial" w:eastAsia="Arial" w:hAnsi="Arial"/>
          <w:i w:val="false"/>
          <w:iCs w:val="false"/>
          <w:sz w:val="22"/>
          <w:szCs w:val="22"/>
        </w:rPr>
        <w:t xml:space="preserve">Mattos's argument is structurally related to the moral argument but distinctly different in its evidential base:</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'The proof of the existence of God is given in an intuitive and empirical way, since no other being performs, by free will, intentionally, the Universal Virtues with the consciousness of the events it intends to trigger. Only man has this capacity — the act of virtues conscious of performing good at multiple levels.'</w:t>
      </w:r>
    </w:p>
    <w:p>
      <w:pPr>
        <w:spacing w:before="80" w:after="120" w:line="276"/>
        <w:jc w:val="both"/>
      </w:pPr>
      <w:r>
        <w:rPr>
          <w:rFonts w:ascii="Arial" w:cs="Arial" w:eastAsia="Arial" w:hAnsi="Arial"/>
          <w:i w:val="false"/>
          <w:iCs w:val="false"/>
          <w:sz w:val="22"/>
          <w:szCs w:val="22"/>
        </w:rPr>
        <w:t xml:space="preserve">Where C.S. Lewis (Mere Christianity) argues from the existence of a universal moral law to a moral lawgiver, Mattos argues from the universal behavioral pattern of virtuous action — performed consciously, freely, and intentionally across all cultures, centuries, and continents without coordination — as the empirical signature of a common divine source. He frames this quasi-scientifically: billions of people who have never met performing identical virtuous acts with identical consciousness constitutes behavioral evidence that cannot be explained by evolution or social conditioning alone.</w:t>
      </w:r>
    </w:p>
    <w:p>
      <w:pPr>
        <w:spacing w:before="80" w:after="120" w:line="276"/>
        <w:jc w:val="both"/>
      </w:pPr>
      <w:r>
        <w:rPr>
          <w:rFonts w:ascii="Arial" w:cs="Arial" w:eastAsia="Arial" w:hAnsi="Arial"/>
          <w:i w:val="false"/>
          <w:iCs w:val="false"/>
          <w:sz w:val="22"/>
          <w:szCs w:val="22"/>
        </w:rPr>
        <w:t xml:space="preserve">He further deploys quantum physics analogies (quantum entanglement, non-locality) as metaphorical support for this God-human behavioral connection. This represents a genuinely contemporary theological move that has no classical precedent, though it loosely follows the tradition of natural theology.</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C.S. Lewis (moral argument), Aquinas (Five Ways), Teilhard's noosphere — all related but none ground the argument in behavioral universals as quasi-empirical evidence with quantum physics analogy.</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2.7  A Non-Institutional, Non-Creedal Universal Religion of Virtues</w:t>
      </w:r>
    </w:p>
    <w:p>
      <w:pPr>
        <w:spacing w:before="80" w:after="120" w:line="276"/>
        <w:jc w:val="both"/>
      </w:pPr>
      <w:r>
        <w:rPr>
          <w:rFonts w:ascii="Arial" w:cs="Arial" w:eastAsia="Arial" w:hAnsi="Arial"/>
          <w:i w:val="false"/>
          <w:iCs w:val="false"/>
          <w:sz w:val="22"/>
          <w:szCs w:val="22"/>
        </w:rPr>
        <w:t xml:space="preserve">One of the most theologically significant proposals in the book is what amounts to a new form of universal religion — one defined not by creed, sacrament, clergy, or scripture, but exclusively by virtuous behavior. Mattos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'All people, of all religions and sects, including atheists and agnostics, who commune with the Universal Human Virtues, belong to the Philosophy of Virtues.'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'Nations have borders, Virtues do not.'</w:t>
      </w:r>
    </w:p>
    <w:p>
      <w:pPr>
        <w:spacing w:before="80" w:after="120" w:line="276"/>
        <w:jc w:val="both"/>
      </w:pPr>
      <w:r>
        <w:rPr>
          <w:rFonts w:ascii="Arial" w:cs="Arial" w:eastAsia="Arial" w:hAnsi="Arial"/>
          <w:i w:val="false"/>
          <w:iCs w:val="false"/>
          <w:sz w:val="22"/>
          <w:szCs w:val="22"/>
        </w:rPr>
        <w:t xml:space="preserve">This is a striking theological position that places the Philosophy of Virtues above, and as the foundation of, all particular religions. It functions as a kind of perennial theology or religio perennis — the tradition running from Marsilio Ficino and Pico della Mirandola through Leibniz (Theodicy), Schleiermacher (On Religion: Speeches to Its Cultured Despisers), and William James (The Varieties of Religious Experience) to Aldous Huxley (The Perennial Philosophy) and Huston Smith.</w:t>
      </w:r>
    </w:p>
    <w:p>
      <w:pPr>
        <w:spacing w:before="80" w:after="120" w:line="276"/>
        <w:jc w:val="both"/>
      </w:pPr>
      <w:r>
        <w:rPr>
          <w:rFonts w:ascii="Arial" w:cs="Arial" w:eastAsia="Arial" w:hAnsi="Arial"/>
          <w:i w:val="false"/>
          <w:iCs w:val="false"/>
          <w:sz w:val="22"/>
          <w:szCs w:val="22"/>
        </w:rPr>
        <w:t xml:space="preserve">However, Mattos's version differs from classical perennialism in an important way: perennialists identify a common metaphysical core (the Absolute, the One, the Divine Ground) beneath all religions. Mattos identifies a common behavioral core — the virtues — as the intersection. This is an ethical, not metaphysical, perennialism. It also differs from purely secular ethics by grounding virtues in God and the Divine order. This particular combination — ethical perennialism with theistic grounding accessible to atheists — is genuinely novel.</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Schleiermacher (religion as feeling), William James (religious experience), Huxley (perennial philosophy), Vatican II's Nostra Aetate (seeds of the Word in all religions) — adjacent but none define the universal religion as behavioral/ethical rather than experiential or metaphysical.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2.8  Reframing the History of Western Spirituality: A New Grand Narrative</w:t>
      </w:r>
    </w:p>
    <w:p>
      <w:pPr>
        <w:spacing w:before="80" w:after="120" w:line="276"/>
        <w:jc w:val="both"/>
      </w:pPr>
      <w:r>
        <w:rPr>
          <w:rFonts w:ascii="Arial" w:cs="Arial" w:eastAsia="Arial" w:hAnsi="Arial"/>
          <w:i w:val="false"/>
          <w:iCs w:val="false"/>
          <w:sz w:val="22"/>
          <w:szCs w:val="22"/>
        </w:rPr>
        <w:t xml:space="preserve">In a remarkable passage, Mattos sketches a teleological history of Western spirituality as a progressive de-centering from collective religion toward the individual person, and then toward the Virtues as the new center:</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'In the beginning, many gods were created. Then the Catholic Church became the center of faith in Christ. Then, with Luther, Christ became the center. In the Enlightenment, man emerged at the center of the Universe. In the Russian Communist Revolution, the State took God's place. With the transmutation of Communism into tyranny... now, in this work, man is liberated. The Virtues become the Center of the Universe — the link between man, society, and the Divine.'</w:t>
      </w:r>
    </w:p>
    <w:p>
      <w:pPr>
        <w:spacing w:before="80" w:after="120" w:line="276"/>
        <w:jc w:val="both"/>
      </w:pPr>
      <w:r>
        <w:rPr>
          <w:rFonts w:ascii="Arial" w:cs="Arial" w:eastAsia="Arial" w:hAnsi="Arial"/>
          <w:i w:val="false"/>
          <w:iCs w:val="false"/>
          <w:sz w:val="22"/>
          <w:szCs w:val="22"/>
        </w:rPr>
        <w:t xml:space="preserve">This is a bold theological-historical narrative that repositions the Virtues not merely as a theme within Christianity but as the telos of the entire Western spiritual trajectory — the point toward which all theological and philosophical development has been moving. It deliberately positions the Philosophy of Virtues as a post-Enlightenment, post-communist spiritual response that transcends the state-God duality.</w:t>
      </w:r>
    </w:p>
    <w:p>
      <w:pPr>
        <w:spacing w:before="80" w:after="120" w:line="276"/>
        <w:jc w:val="both"/>
      </w:pPr>
      <w:r>
        <w:rPr>
          <w:rFonts w:ascii="Arial" w:cs="Arial" w:eastAsia="Arial" w:hAnsi="Arial"/>
          <w:i w:val="false"/>
          <w:iCs w:val="false"/>
          <w:sz w:val="22"/>
          <w:szCs w:val="22"/>
        </w:rPr>
        <w:t xml:space="preserve">Classical theological historians — from Hegel's Phenomenology of Spirit to Hans Urs von Balthasar's Glory of the Lord to Karl Barth's Church Dogmatics — have proposed grand narratives of theological history. None, however, have proposed the Virtues themselves as the culminating center of the divine-human relation in history. The closest secular parallel is Hegel's Absolute Spirit realizing itself through history, but Mattos's framework is explicitly theistic and personalizing rather than speculative-idealist.</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Hegel (Spirit in history), von Balthasar (theological aesthetics as telos), Teilhard de Chardin (Omega Point) — all grand narratives but none propose Virtues as the historical-spiritual center.</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Very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2.9  Sanctity (Santidade) as Virtues Acting Through the Person</w:t>
      </w:r>
    </w:p>
    <w:p>
      <w:pPr>
        <w:spacing w:before="80" w:after="120" w:line="276"/>
        <w:jc w:val="both"/>
      </w:pPr>
      <w:r>
        <w:rPr>
          <w:rFonts w:ascii="Arial" w:cs="Arial" w:eastAsia="Arial" w:hAnsi="Arial"/>
          <w:i w:val="false"/>
          <w:iCs w:val="false"/>
          <w:sz w:val="22"/>
          <w:szCs w:val="22"/>
        </w:rPr>
        <w:t xml:space="preserve">In Catholic theology, sanctity is understood as heroic virtue — the virtuous life raised to extraordinary degree through cooperation with divine grace, typically verified through miracles post mortem. In Protestant theology, sanctification is progressive moral renewal through the Holy Spirit. In Orthodox theology, theosis is deification through participation in divine energies.</w:t>
      </w:r>
    </w:p>
    <w:p>
      <w:pPr>
        <w:spacing w:before="80" w:after="120" w:line="276"/>
        <w:jc w:val="both"/>
      </w:pPr>
      <w:r>
        <w:rPr>
          <w:rFonts w:ascii="Arial" w:cs="Arial" w:eastAsia="Arial" w:hAnsi="Arial"/>
          <w:i w:val="false"/>
          <w:iCs w:val="false"/>
          <w:sz w:val="22"/>
          <w:szCs w:val="22"/>
        </w:rPr>
        <w:t xml:space="preserve">Mattos introduces a distinctly original phenomenological description of sanctity:</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'Sanctity reveals itself when it is no longer Man who acts in the Virtues, but the Virtues that act in Man, becoming the expression of the will of God. At this stage, the Divine genome definitively incorporates itself into the man.'</w:t>
      </w:r>
    </w:p>
    <w:p>
      <w:pPr>
        <w:spacing w:before="80" w:after="120" w:line="276"/>
        <w:jc w:val="both"/>
      </w:pPr>
      <w:r>
        <w:rPr>
          <w:rFonts w:ascii="Arial" w:cs="Arial" w:eastAsia="Arial" w:hAnsi="Arial"/>
          <w:i w:val="false"/>
          <w:iCs w:val="false"/>
          <w:sz w:val="22"/>
          <w:szCs w:val="22"/>
        </w:rPr>
        <w:t xml:space="preserve">This formulation inverts the typical direction of agency in sanctity: rather than the holy person doing holy things, the Virtues themselves become the acting subject, using the person as their instrument. This is structurally similar to Paul's 'it is no longer I who live, but Christ who lives in me' (Galatians 2:20), but universalized from Christ to the Virtues and re-expressed in the language of 'genetic incorporation.'</w:t>
      </w:r>
    </w:p>
    <w:p>
      <w:pPr>
        <w:spacing w:before="80" w:after="120" w:line="276"/>
        <w:jc w:val="both"/>
      </w:pPr>
      <w:r>
        <w:rPr>
          <w:rFonts w:ascii="Arial" w:cs="Arial" w:eastAsia="Arial" w:hAnsi="Arial"/>
          <w:i w:val="false"/>
          <w:iCs w:val="false"/>
          <w:sz w:val="22"/>
          <w:szCs w:val="22"/>
        </w:rPr>
        <w:t xml:space="preserve">It also resonates with Meister Eckhart's concept of Gelassenheit (letting-go, abandonment) — the mystic's total self-emptying so that God acts through them — and with the Quietist tradition (Fénelon, Madame Guyon). However, Mattos grounds this in virtue ethics rather than mystical passivity, and uses the biological metaphor of genetic incorporation rather than spiritual language. This is a genuinely original theological synthesis.</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Paul (Galatians 2:20), Eckhart (Gelassenheit), Fénelon (pure love), Catholic heroic virtue — all adjacent but the formulation of Virtues as the acting subject through genetic incorporation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2.10  Virtues as 'BioEspiritual': Bridging Biological and Eternal Life</w:t>
      </w:r>
    </w:p>
    <w:p>
      <w:pPr>
        <w:spacing w:before="80" w:after="120" w:line="276"/>
        <w:jc w:val="both"/>
      </w:pPr>
      <w:r>
        <w:rPr>
          <w:rFonts w:ascii="Arial" w:cs="Arial" w:eastAsia="Arial" w:hAnsi="Arial"/>
          <w:i w:val="false"/>
          <w:iCs w:val="false"/>
          <w:sz w:val="22"/>
          <w:szCs w:val="22"/>
        </w:rPr>
        <w:t xml:space="preserve">Mattos introduces the concept of BioEspiritual (BioSpiritual) virtues — the claim that virtues constitute the link between biological-temporal existence and spiritual-eternal existence. He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'Virtues are BioSpiritual, they are the link between biological temporal life and eternal spiritual life. Therefore, in nature, contemplation, solitude, and silence become sources of the Divine.'</w:t>
      </w:r>
    </w:p>
    <w:p>
      <w:pPr>
        <w:spacing w:before="80" w:after="120" w:line="276"/>
        <w:jc w:val="both"/>
      </w:pPr>
      <w:r>
        <w:rPr>
          <w:rFonts w:ascii="Arial" w:cs="Arial" w:eastAsia="Arial" w:hAnsi="Arial"/>
          <w:i w:val="false"/>
          <w:iCs w:val="false"/>
          <w:sz w:val="22"/>
          <w:szCs w:val="22"/>
        </w:rPr>
        <w:t xml:space="preserve">This is a creative theological-anthropological proposal that addresses the classical body-soul dualism that has haunted Christian theology since the influence of Platonism on the Fathers. Classical theology has tended either to subordinate the body (Platonic-Gnostic tendency, condemned) or to affirm the resurrection of the body (orthodox) while often treating spiritual life as primarily non-bodily. The medieval debate between body and soul in relation to virtue was extensive — Aquinas defended the body as necessary for complete human virtue (Summa Theologica I-II, q. 4, art. 6).</w:t>
      </w:r>
    </w:p>
    <w:p>
      <w:pPr>
        <w:spacing w:before="80" w:after="120" w:line="276"/>
        <w:jc w:val="both"/>
      </w:pPr>
      <w:r>
        <w:rPr>
          <w:rFonts w:ascii="Arial" w:cs="Arial" w:eastAsia="Arial" w:hAnsi="Arial"/>
          <w:i w:val="false"/>
          <w:iCs w:val="false"/>
          <w:sz w:val="22"/>
          <w:szCs w:val="22"/>
        </w:rPr>
        <w:t xml:space="preserve">Mattos's 'BioSpiritual' concept goes further: virtues do not merely require the body for their expression; they are themselves the interface between biological and spiritual life. This has resonances with Pierre Teilhard de Chardin's theology of matter (The Divine Milieu), where the material world is the body of God's evolutionary project, and with the contemporary theology of the body (John Paul II). However, the specific claim that virtues constitute the bio-spiritual interface — neither purely spiritual nor purely biological — is a genuinely new formulation.</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Aquinas (body needed for virtue), Teilhard (divine milieu), John Paul II (theology of the body) — all related but the BioSpiritual interface formulation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★★★½☆  Moderate-High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2.11  The Theology of Consciousness and Quantum Spirituality</w:t>
      </w:r>
    </w:p>
    <w:p>
      <w:pPr>
        <w:spacing w:before="80" w:after="120" w:line="276"/>
        <w:jc w:val="both"/>
      </w:pPr>
      <w:r>
        <w:rPr>
          <w:rFonts w:ascii="Arial" w:cs="Arial" w:eastAsia="Arial" w:hAnsi="Arial"/>
          <w:i w:val="false"/>
          <w:iCs w:val="false"/>
          <w:sz w:val="22"/>
          <w:szCs w:val="22"/>
        </w:rPr>
        <w:t xml:space="preserve">One of the most distinctly contemporary theological moves in the book is the integration of quantum physics and consciousness studies into a theological anthropology. Mattos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'Quantum physics has proven that everything is connected. We are not the brain, we are not information inside neurons, we are not cells — we are the world, we are the reality we build with our Virtues... Consciousness is immaterial, holistic, belonging to the quantum fabric of the Universe, connected to the Divine, to the Eternal.'</w:t>
      </w:r>
    </w:p>
    <w:p>
      <w:pPr>
        <w:spacing w:before="80" w:after="120" w:line="276"/>
        <w:jc w:val="both"/>
      </w:pPr>
      <w:r>
        <w:rPr>
          <w:rFonts w:ascii="Arial" w:cs="Arial" w:eastAsia="Arial" w:hAnsi="Arial"/>
          <w:i w:val="false"/>
          <w:iCs w:val="false"/>
          <w:sz w:val="22"/>
          <w:szCs w:val="22"/>
        </w:rPr>
        <w:t xml:space="preserve">He further invokes quantum entanglement and non-locality as metaphors — or perhaps literal models — for the God-human virtuous connection. This is a form of quantum theology or quantum spirituality that has become increasingly common in popular spiritual writing (Deepak Chopra, Amit Goswami, The Tao of Physics by Fritjof Capra) but is largely absent from mainstream academic theology.</w:t>
      </w:r>
    </w:p>
    <w:p>
      <w:pPr>
        <w:spacing w:before="80" w:after="120" w:line="276"/>
        <w:jc w:val="both"/>
      </w:pPr>
      <w:r>
        <w:rPr>
          <w:rFonts w:ascii="Arial" w:cs="Arial" w:eastAsia="Arial" w:hAnsi="Arial"/>
          <w:i w:val="false"/>
          <w:iCs w:val="false"/>
          <w:sz w:val="22"/>
          <w:szCs w:val="22"/>
        </w:rPr>
        <w:t xml:space="preserve">Mattos uses these quantum concepts not merely metaphorically but as part of a genuine theological anthropology: consciousness is not identical with brain function, it belongs to the quantum fabric of the universe, it connects to the Divine, and virtuous action is the mode of this connection. This is closer to the panpsychist theologies emerging in contemporary theology of science (Philip Clayton, Arthur Peacocke) than to any classical tradition, though it resonates with the Eastern Orthodox apophatic tradition's insistence on the incomprehensibility of God's mode of action.</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Teilhard (matter and spirit), process theology (Whitehead), Capra/Chopra (quantum spirituality), Eastern apophatic tradition — all related but the specific integration with virtue ethics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★★★½☆  Moderate-High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2.12  Spiritual Warfare as the Core of History: A New Eschatology of Virtues</w:t>
      </w:r>
    </w:p>
    <w:p>
      <w:pPr>
        <w:spacing w:before="80" w:after="120" w:line="276"/>
        <w:jc w:val="both"/>
      </w:pPr>
      <w:r>
        <w:rPr>
          <w:rFonts w:ascii="Arial" w:cs="Arial" w:eastAsia="Arial" w:hAnsi="Arial"/>
          <w:i w:val="false"/>
          <w:iCs w:val="false"/>
          <w:sz w:val="22"/>
          <w:szCs w:val="22"/>
        </w:rPr>
        <w:t xml:space="preserve">Mattos's Chapter XI presents an explicitly theological-eschatological vision: the entire current historical moment is a 'spiritual war' (guerra espiritual) between the Virtues and Tyranny, which he explicitly equates with the conflict between God and Evil. He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'We are witnessing a spiritual war waged in the mind of each citizen... If you are an enemy of Freedom, you are an enemy of God.'</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'A victory of Freedom means the victory of God throughout the world.'</w:t>
      </w:r>
    </w:p>
    <w:p>
      <w:pPr>
        <w:spacing w:before="80" w:after="120" w:line="276"/>
        <w:jc w:val="both"/>
      </w:pPr>
      <w:r>
        <w:rPr>
          <w:rFonts w:ascii="Arial" w:cs="Arial" w:eastAsia="Arial" w:hAnsi="Arial"/>
          <w:i w:val="false"/>
          <w:iCs w:val="false"/>
          <w:sz w:val="22"/>
          <w:szCs w:val="22"/>
        </w:rPr>
        <w:t xml:space="preserve">This represents a contemporary political eschatology — a reading of current geopolitical events as the stage of the ultimate eschatological battle. It echoes the tradition of Christian political theology from Augustine's City of God (the City of God vs. the City of Man) through Joachim of Fiore's prophetic historical theology, to Reinhold Niebuhr's Christian Realism, and most recently to various strands of liberation theology and dominion theology.</w:t>
      </w:r>
    </w:p>
    <w:p>
      <w:pPr>
        <w:spacing w:before="80" w:after="120" w:line="276"/>
        <w:jc w:val="both"/>
      </w:pPr>
      <w:r>
        <w:rPr>
          <w:rFonts w:ascii="Arial" w:cs="Arial" w:eastAsia="Arial" w:hAnsi="Arial"/>
          <w:i w:val="false"/>
          <w:iCs w:val="false"/>
          <w:sz w:val="22"/>
          <w:szCs w:val="22"/>
        </w:rPr>
        <w:t xml:space="preserve">What is theologically distinctive is the identification of the current technological, media, and governmental tyranny (including pandemic lockdowns, digital surveillance, and cultural deconstruction) as the specific contemporary form of the eschatological battle. This represents a genuine updating of the Augustinian two-cities framework for the 21st-century digital age, with the additional claim that Freedom — not the Church, not the State, not a particular civilization — is the eschatological standard of the City of God.</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Augustine (two cities), Reinhold Niebuhr (Christian realism), liberation theology, dominion theology — all related but the specific identification of Freedom-Tyranny as the eschatological axis, applied to contemporary digital-era tyranny,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2.13  The Oath as Sacramental Act: Democratizing Sacred Ritual</w:t>
      </w:r>
    </w:p>
    <w:p>
      <w:pPr>
        <w:spacing w:before="80" w:after="120" w:line="276"/>
        <w:jc w:val="both"/>
      </w:pPr>
      <w:r>
        <w:rPr>
          <w:rFonts w:ascii="Arial" w:cs="Arial" w:eastAsia="Arial" w:hAnsi="Arial"/>
          <w:i w:val="false"/>
          <w:iCs w:val="false"/>
          <w:sz w:val="22"/>
          <w:szCs w:val="22"/>
        </w:rPr>
        <w:t xml:space="preserve">The book concludes with a formal 'Juramento das Virtudes' (Oath of the Virtues) — a first-person, sacred commitment to live by the virtues, culminating in: 'I swear. / I will live by the Sacred Virtues, so that in the end I may be serene and at peace, look God in the eyes and smile, saying that I was sincere with Him and with myself.'</w:t>
      </w:r>
    </w:p>
    <w:p>
      <w:pPr>
        <w:spacing w:before="80" w:after="120" w:line="276"/>
        <w:jc w:val="both"/>
      </w:pPr>
      <w:r>
        <w:rPr>
          <w:rFonts w:ascii="Arial" w:cs="Arial" w:eastAsia="Arial" w:hAnsi="Arial"/>
          <w:i w:val="false"/>
          <w:iCs w:val="false"/>
          <w:sz w:val="22"/>
          <w:szCs w:val="22"/>
        </w:rPr>
        <w:t xml:space="preserve">This is structurally a ritual text — an oath with the weight of a sacred vow — but one that is entirely non-institutional, non-sacramental, and non-mediated by clergy or church. In Catholic theology, oaths and vows are formal acts with defined canonical status (canon law canons 1191-1204). In Protestant theology, covenantal commitment is essential but always mediated by Scripture and the community of faith.</w:t>
      </w:r>
    </w:p>
    <w:p>
      <w:pPr>
        <w:spacing w:before="80" w:after="120" w:line="276"/>
        <w:jc w:val="both"/>
      </w:pPr>
      <w:r>
        <w:rPr>
          <w:rFonts w:ascii="Arial" w:cs="Arial" w:eastAsia="Arial" w:hAnsi="Arial"/>
          <w:i w:val="false"/>
          <w:iCs w:val="false"/>
          <w:sz w:val="22"/>
          <w:szCs w:val="22"/>
        </w:rPr>
        <w:t xml:space="preserve">Mattos creates a lay sacramental ritual outside any institutional framework. The oath functions theologically as what the Catholic tradition calls a votum (solemn vow to God) but without any ecclesiastical authority or clerical mediation. It echoes the Quaker tradition of direct covenant with God, and also the Jewish concept of the personal covenant (brit) between the individual and God. However, as a formal text placed at the end of a philosophical-theological system and explicitly inviting the reader into an initiatory relationship with the Divine through virtues alone, it is an original ritual-theological contribution.</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Catholic vow theology (canon law), Protestant covenant theology, Quaker direct covenant, Jewish brit — all related but the systematically placed, philosophically grounded, institution-free sacred oath is distinctive.</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★★★½☆  Moderate-High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2.14  Nature as the 'BioSpiritual Temple' of Virtues</w:t>
      </w:r>
    </w:p>
    <w:p>
      <w:pPr>
        <w:spacing w:before="80" w:after="120" w:line="276"/>
        <w:jc w:val="both"/>
      </w:pPr>
      <w:r>
        <w:rPr>
          <w:rFonts w:ascii="Arial" w:cs="Arial" w:eastAsia="Arial" w:hAnsi="Arial"/>
          <w:i w:val="false"/>
          <w:iCs w:val="false"/>
          <w:sz w:val="22"/>
          <w:szCs w:val="22"/>
        </w:rPr>
        <w:t xml:space="preserve">Mattos makes a strong theological claim about the relationship between nature, spirituality, and virtues: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'Nature is the BioSpiritual Temple of Virtues... In nature, contemplation, solitude, and silence become sources of the Divine. It is our natural habitat of physical and spiritual evolution.'</w:t>
      </w:r>
    </w:p>
    <w:p>
      <w:pPr>
        <w:spacing w:before="80" w:after="120" w:line="276"/>
        <w:jc w:val="both"/>
      </w:pPr>
      <w:r>
        <w:rPr>
          <w:rFonts w:ascii="Arial" w:cs="Arial" w:eastAsia="Arial" w:hAnsi="Arial"/>
          <w:i w:val="false"/>
          <w:iCs w:val="false"/>
          <w:sz w:val="22"/>
          <w:szCs w:val="22"/>
        </w:rPr>
        <w:t xml:space="preserve">He explicitly contrasts this with human-made temples: 'Always prefer to enter the temple of nature rather than the temple of men.' This represents a form of natural theology (the revelation of God through creation) that is as old as Psalm 19 ('The heavens declare the glory of God') and Romans 1:20 (God's attributes visible in creation). However, Mattos goes beyond mere natural revelation to make nature itself the primary sacred space — the BioSpiritual temple — which has more in common with Celtic Christianity, Francis of Assisi's theology of creation, and contemporary eco-theology (Sallie McFague, Thomas Berry) than with mainstream systematic theology.</w:t>
      </w:r>
    </w:p>
    <w:p>
      <w:pPr>
        <w:spacing w:before="80" w:after="120" w:line="276"/>
        <w:jc w:val="both"/>
      </w:pPr>
      <w:r>
        <w:rPr>
          <w:rFonts w:ascii="Arial" w:cs="Arial" w:eastAsia="Arial" w:hAnsi="Arial"/>
          <w:i w:val="false"/>
          <w:iCs w:val="false"/>
          <w:sz w:val="22"/>
          <w:szCs w:val="22"/>
        </w:rPr>
        <w:t xml:space="preserve">The specific combination of the BioSpiritual concept with the claim that nature is the 'natural habitat of physical and spiritual evolution' introduces an evolutionary-ecological dimension into the theology of sacred space that has no classical parallel and represents a genuinely contemporary theological contribution.</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Francis of Assisi (creation as revelation), Celtic Christianity (thin places), Teilhard (sacred matter), McFague (eco-theology) — all adjacent but the BioSpiritual Temple concept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★★★½☆  Moderate-High</w:t>
      </w:r>
    </w:p>
    <w:p>
      <w:pPr>
        <w:spacing w:before="0" w:after="0"/>
      </w:pPr>
      <w:r>
        <w:t xml:space="preserve"/>
      </w:r>
    </w:p>
    <w:p>
      <w:pPr>
        <w:pStyle w:val="Heading2"/>
        <w:spacing w:before="300" w:after="120"/>
      </w:pPr>
      <w:r>
        <w:rPr>
          <w:rFonts w:ascii="Arial" w:cs="Arial" w:eastAsia="Arial" w:hAnsi="Arial"/>
          <w:b/>
          <w:bCs/>
          <w:color w:val="2C5F8A"/>
          <w:sz w:val="27"/>
          <w:szCs w:val="27"/>
        </w:rPr>
        <w:t xml:space="preserve">2.15  Existential Figures as Theological Diagnostics of the Soul</w:t>
      </w:r>
    </w:p>
    <w:p>
      <w:pPr>
        <w:spacing w:before="80" w:after="120" w:line="276"/>
        <w:jc w:val="both"/>
      </w:pPr>
      <w:r>
        <w:rPr>
          <w:rFonts w:ascii="Arial" w:cs="Arial" w:eastAsia="Arial" w:hAnsi="Arial"/>
          <w:i w:val="false"/>
          <w:iCs w:val="false"/>
          <w:sz w:val="22"/>
          <w:szCs w:val="22"/>
        </w:rPr>
        <w:t xml:space="preserve">Mattos proposes that physical symptoms (anxiety, insomnia, depression, vertigo, nausea) and positive somatic experiences (inspiration, desire to build, love) are 'Existential Figures' — direct expressions of the spiritual condition of the soul, functioning as theological diagnostics. He writes:</w:t>
      </w:r>
    </w:p>
    <w:p>
      <w:pPr>
        <w:pBdr>
          <w:left w:val="single" w:color="8B6914" w:sz="8" w:space="1"/>
        </w:pBdr>
        <w:spacing w:before="120" w:after="120" w:line="276"/>
        <w:ind w:left="720" w:right="720"/>
        <w:jc w:val="both"/>
      </w:pPr>
      <w:r>
        <w:rPr>
          <w:rFonts w:ascii="Arial" w:cs="Arial" w:eastAsia="Arial" w:hAnsi="Arial"/>
          <w:i/>
          <w:iCs/>
          <w:color w:val="333333"/>
          <w:sz w:val="21"/>
          <w:szCs w:val="21"/>
        </w:rPr>
        <w:t xml:space="preserve">'Existential figures are spiritual questions of the Human Virtues, personified, placed in the flesh of the body, related to the purpose and meaning of living. They are symptoms in the body of the difficulties of the soul.'</w:t>
      </w:r>
    </w:p>
    <w:p>
      <w:pPr>
        <w:spacing w:before="80" w:after="120" w:line="276"/>
        <w:jc w:val="both"/>
      </w:pPr>
      <w:r>
        <w:rPr>
          <w:rFonts w:ascii="Arial" w:cs="Arial" w:eastAsia="Arial" w:hAnsi="Arial"/>
          <w:i w:val="false"/>
          <w:iCs w:val="false"/>
          <w:sz w:val="22"/>
          <w:szCs w:val="22"/>
        </w:rPr>
        <w:t xml:space="preserve">This is a sophisticated theological anthropology that takes seriously the unity of body and soul in a way that resonates with the classical tradition. In scholastic theology, Aquinas argued for the unity of the human composite (body+soul) against both pure spiritualism and materialism. In contemporary theology, the tradition of Christian psychology (Ignatius of Loyola's discernment of spirits, John of the Cross on consolations and desolations, Karl Rahner on the experience of grace) explores similar territory.</w:t>
      </w:r>
    </w:p>
    <w:p>
      <w:pPr>
        <w:spacing w:before="80" w:after="120" w:line="276"/>
        <w:jc w:val="both"/>
      </w:pPr>
      <w:r>
        <w:rPr>
          <w:rFonts w:ascii="Arial" w:cs="Arial" w:eastAsia="Arial" w:hAnsi="Arial"/>
          <w:i w:val="false"/>
          <w:iCs w:val="false"/>
          <w:sz w:val="22"/>
          <w:szCs w:val="22"/>
        </w:rPr>
        <w:t xml:space="preserve">However, Mattos's specific proposal — that these bodily symptoms constitute a systematic spiritual diagnostic needing its own taxonomy, and that the positive existential figures have not yet been scientifically catalogued — is a genuinely original theological-anthropological contribution. It calls for a new Christian psychosomatics grounded in virtue ethics, which has no direct precedent in the theological literature.</w:t>
      </w:r>
    </w:p>
    <w:p>
      <w:pPr>
        <w:spacing w:before="80" w:after="100" w:line="276"/>
        <w:jc w:val="both"/>
      </w:pPr>
      <w:r>
        <w:rPr>
          <w:rFonts w:ascii="Arial" w:cs="Arial" w:eastAsia="Arial" w:hAnsi="Arial"/>
          <w:b/>
          <w:bCs/>
          <w:color w:val="1A3558"/>
          <w:sz w:val="22"/>
          <w:szCs w:val="22"/>
        </w:rPr>
        <w:t xml:space="preserve">Classical comparison: </w:t>
      </w:r>
      <w:r>
        <w:rPr>
          <w:rFonts w:ascii="Arial" w:cs="Arial" w:eastAsia="Arial" w:hAnsi="Arial"/>
          <w:sz w:val="22"/>
          <w:szCs w:val="22"/>
        </w:rPr>
        <w:t xml:space="preserve">Ignatius (discernment of spirits), John of the Cross (consolations/desolations), Rahner (experience of grace), contemporary pastoral theology — adjacent but the systematic somatic taxonomy proposal is original.</w:t>
      </w:r>
    </w:p>
    <w:p>
      <w:pPr>
        <w:spacing w:before="60" w:after="60"/>
      </w:pPr>
      <w:r>
        <w:rPr>
          <w:rFonts w:ascii="Arial" w:cs="Arial" w:eastAsia="Arial" w:hAnsi="Arial"/>
          <w:b/>
          <w:bCs/>
          <w:sz w:val="22"/>
          <w:szCs w:val="22"/>
        </w:rPr>
        <w:t xml:space="preserve">Theological Originality: </w:t>
      </w:r>
      <w:r>
        <w:rPr>
          <w:rFonts w:ascii="Arial" w:cs="Arial" w:eastAsia="Arial" w:hAnsi="Arial"/>
          <w:b/>
          <w:bCs/>
          <w:color w:val="8B6914"/>
          <w:sz w:val="22"/>
          <w:szCs w:val="22"/>
        </w:rPr>
        <w:t xml:space="preserve">★★★★☆  High</w:t>
      </w:r>
    </w:p>
    <w:p>
      <w:pPr>
        <w:spacing w:before="0" w:after="0"/>
      </w:pPr>
      <w:r>
        <w:t xml:space="preserve"/>
      </w:r>
    </w:p>
    <w:p>
      <w:pPr>
        <w:pStyle w:val="Heading1"/>
        <w:spacing w:before="400" w:after="160"/>
      </w:pPr>
      <w:r>
        <w:rPr>
          <w:rFonts w:ascii="Arial" w:cs="Arial" w:eastAsia="Arial" w:hAnsi="Arial"/>
          <w:b/>
          <w:bCs/>
          <w:color w:val="1A3558"/>
          <w:sz w:val="34"/>
          <w:szCs w:val="34"/>
        </w:rPr>
        <w:t xml:space="preserve">3. Comparative Summary Table</w:t>
      </w:r>
    </w:p>
    <w:p>
      <w:pPr>
        <w:spacing w:before="80" w:after="120" w:line="276"/>
        <w:jc w:val="both"/>
      </w:pPr>
      <w:r>
        <w:rPr>
          <w:rFonts w:ascii="Arial" w:cs="Arial" w:eastAsia="Arial" w:hAnsi="Arial"/>
          <w:i w:val="false"/>
          <w:iCs w:val="false"/>
          <w:sz w:val="22"/>
          <w:szCs w:val="22"/>
        </w:rPr>
        <w:t xml:space="preserve">The table below maps each theological innovation against its closest classical or contemporary analogue and rates its originality within the global theological bibliography.</w:t>
      </w:r>
    </w:p>
    <w:p>
      <w:pPr>
        <w:spacing w:before="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2000"/>
        <w:gridCol w:w="3960"/>
      </w:tblGrid>
      <w:tr>
        <w:tc>
          <w:tcPr>
            <w:tcW w:type="dxa" w:w="3400"/>
            <w:tcBorders>
              <w:top w:val="single" w:color="BBCCDD" w:sz="1"/>
              <w:left w:val="single" w:color="BBCCDD" w:sz="1"/>
              <w:bottom w:val="single" w:color="BBCCDD" w:sz="1"/>
              <w:right w:val="single" w:color="BBCCDD" w:sz="1"/>
            </w:tcBorders>
            <w:shd w:fill="1A3558"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Theological Innovation</w:t>
            </w:r>
          </w:p>
        </w:tc>
        <w:tc>
          <w:tcPr>
            <w:tcW w:type="dxa" w:w="2000"/>
            <w:tcBorders>
              <w:top w:val="single" w:color="BBCCDD" w:sz="1"/>
              <w:left w:val="single" w:color="BBCCDD" w:sz="1"/>
              <w:bottom w:val="single" w:color="BBCCDD" w:sz="1"/>
              <w:right w:val="single" w:color="BBCCDD" w:sz="1"/>
            </w:tcBorders>
            <w:shd w:fill="1A3558" w:val="clear"/>
            <w:tcMar>
              <w:top w:type="dxa" w:w="80"/>
              <w:left w:type="dxa" w:w="120"/>
              <w:bottom w:type="dxa" w:w="80"/>
              <w:right w:type="dxa" w:w="120"/>
            </w:tcMar>
          </w:tcPr>
          <w:p>
            <w:pPr>
              <w:jc w:val="left"/>
            </w:pPr>
            <w:r>
              <w:rPr>
                <w:rFonts w:ascii="Arial" w:cs="Arial" w:eastAsia="Arial" w:hAnsi="Arial"/>
                <w:b/>
                <w:bCs/>
                <w:color w:val="FFFFFF"/>
                <w:sz w:val="20"/>
                <w:szCs w:val="20"/>
              </w:rPr>
              <w:t xml:space="preserve">Originality</w:t>
            </w:r>
          </w:p>
        </w:tc>
        <w:tc>
          <w:tcPr>
            <w:tcW w:type="dxa" w:w="3960"/>
            <w:tcBorders>
              <w:top w:val="single" w:color="BBCCDD" w:sz="1"/>
              <w:left w:val="single" w:color="BBCCDD" w:sz="1"/>
              <w:bottom w:val="single" w:color="BBCCDD" w:sz="1"/>
              <w:right w:val="single" w:color="BBCCDD" w:sz="1"/>
            </w:tcBorders>
            <w:shd w:fill="1A3558"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Closest Classical Analogue</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God as Freedom (divine essence = Freedom)</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Very 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Berdyaev (freedom), Aquinas (Being), Augustine (Love)</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Virtues as DNA of God</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Very 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Imago Dei (Aquinas, Barth), Rahner (supernatural existential)</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Every virtuous act = a Miracle</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Aquinas (actual grace), Eckhart (Word-birth in soul)</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Freedom as the soteriological path to God</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Eastern synergeia, Kant's moral theology</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Universal lay participation in the Divine</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Orthodox theosis (Athanasius, Palamas), Teilhard</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Behavioral universals as proof of God</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C.S. Lewis (moral argument), natural theology</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Non-creedal, behavioral universal religion</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Perennial philosophy (Huxley), Schleiermacher</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Virtues as Center of the Universe (grand narrative)</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Very 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Hegel (Spirit in history), Teilhard (Omega Point)</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Sanctity as Virtues acting through the person</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Paul (Gal 2:20), Eckhart (Gelassenheit)</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BioSpiritual virtues (bio-eternal interface)</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Moderate-High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Teilhard (divine milieu), John Paul II</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Quantum consciousness theology</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Moderate-High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Process theology, Capra/Chopra quantum spirituality</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Spiritual warfare as contemporary eschatology</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Augustine (two cities), Niebuhr, liberation theology</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Lay sacred oath as institutional-free sacrament</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Moderate-High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Quaker covenant, Catholic vow theology</w:t>
            </w:r>
          </w:p>
        </w:tc>
      </w:tr>
      <w:tr>
        <w:tc>
          <w:tcPr>
            <w:tcW w:type="dxa" w:w="34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Nature as BioSpiritual Temple</w:t>
            </w:r>
          </w:p>
        </w:tc>
        <w:tc>
          <w:tcPr>
            <w:tcW w:type="dxa" w:w="200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Moderate-High</w:t>
            </w:r>
          </w:p>
        </w:tc>
        <w:tc>
          <w:tcPr>
            <w:tcW w:type="dxa" w:w="3960"/>
            <w:tcBorders>
              <w:top w:val="single" w:color="BBCCDD" w:sz="1"/>
              <w:left w:val="single" w:color="BBCCDD" w:sz="1"/>
              <w:bottom w:val="single" w:color="BBCCDD" w:sz="1"/>
              <w:right w:val="single" w:color="BBCCDD" w:sz="1"/>
            </w:tcBorders>
            <w:shd w:fill="EAF2FB"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Francis of Assisi, Celtic Christianity, eco-theology</w:t>
            </w:r>
          </w:p>
        </w:tc>
      </w:tr>
      <w:tr>
        <w:tc>
          <w:tcPr>
            <w:tcW w:type="dxa" w:w="34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Existential Figures as theological diagnostics</w:t>
            </w:r>
          </w:p>
        </w:tc>
        <w:tc>
          <w:tcPr>
            <w:tcW w:type="dxa" w:w="200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High</w:t>
            </w:r>
          </w:p>
        </w:tc>
        <w:tc>
          <w:tcPr>
            <w:tcW w:type="dxa" w:w="396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pPr>
              <w:jc w:val="left"/>
            </w:pPr>
            <w:r>
              <w:rPr>
                <w:rFonts w:ascii="Arial" w:cs="Arial" w:eastAsia="Arial" w:hAnsi="Arial"/>
                <w:b w:val="false"/>
                <w:bCs w:val="false"/>
                <w:color w:val="222222"/>
                <w:sz w:val="19"/>
                <w:szCs w:val="19"/>
              </w:rPr>
              <w:t xml:space="preserve">Ignatius (discernment), John of the Cross</w:t>
            </w:r>
          </w:p>
        </w:tc>
      </w:tr>
    </w:tbl>
    <w:p>
      <w:pPr>
        <w:spacing w:before="0" w:after="0"/>
      </w:pPr>
      <w:r>
        <w:t xml:space="preserve"/>
      </w:r>
    </w:p>
    <w:p>
      <w:pPr>
        <w:pStyle w:val="Heading1"/>
        <w:spacing w:before="400" w:after="160"/>
      </w:pPr>
      <w:r>
        <w:rPr>
          <w:rFonts w:ascii="Arial" w:cs="Arial" w:eastAsia="Arial" w:hAnsi="Arial"/>
          <w:b/>
          <w:bCs/>
          <w:color w:val="1A3558"/>
          <w:sz w:val="34"/>
          <w:szCs w:val="34"/>
        </w:rPr>
        <w:t xml:space="preserve">4. Dialogue with Specific Theological Traditions</w:t>
      </w:r>
    </w:p>
    <w:p>
      <w:pPr>
        <w:pStyle w:val="Heading2"/>
        <w:spacing w:before="300" w:after="120"/>
      </w:pPr>
      <w:r>
        <w:rPr>
          <w:rFonts w:ascii="Arial" w:cs="Arial" w:eastAsia="Arial" w:hAnsi="Arial"/>
          <w:b/>
          <w:bCs/>
          <w:color w:val="2C5F8A"/>
          <w:sz w:val="27"/>
          <w:szCs w:val="27"/>
        </w:rPr>
        <w:t xml:space="preserve">4.1  With Catholic Theology</w:t>
      </w:r>
    </w:p>
    <w:p>
      <w:pPr>
        <w:spacing w:before="80" w:after="120" w:line="276"/>
        <w:jc w:val="both"/>
      </w:pPr>
      <w:r>
        <w:rPr>
          <w:rFonts w:ascii="Arial" w:cs="Arial" w:eastAsia="Arial" w:hAnsi="Arial"/>
          <w:i w:val="false"/>
          <w:iCs w:val="false"/>
          <w:sz w:val="22"/>
          <w:szCs w:val="22"/>
        </w:rPr>
        <w:t xml:space="preserve">The book's debt to Catholic theology is evident: references to Aquinas, Augustine, the concept of sanctity, the role of grace, sacramental sensibility, and the Augustinian two-cities framework are all present. However, Mattos diverges sharply from Catholicism in three key areas: (1) he replaces the sacramental-ecclesial mediation of grace with direct virtuous action; (2) he makes Freedom — rather than Faith, the Church, or the Eucharist — the center of the God-human relationship; (3) he proposes a lay sacramental oath without clerical mediation. His theology could be read as a radical version of the Catholic sensibility of 'grace perfects nature' (gratia perficit naturam), but without the institutional church as mediating agent.</w:t>
      </w:r>
    </w:p>
    <w:p>
      <w:pPr>
        <w:pStyle w:val="Heading2"/>
        <w:spacing w:before="300" w:after="120"/>
      </w:pPr>
      <w:r>
        <w:rPr>
          <w:rFonts w:ascii="Arial" w:cs="Arial" w:eastAsia="Arial" w:hAnsi="Arial"/>
          <w:b/>
          <w:bCs/>
          <w:color w:val="2C5F8A"/>
          <w:sz w:val="27"/>
          <w:szCs w:val="27"/>
        </w:rPr>
        <w:t xml:space="preserve">4.2  With Protestant Theology</w:t>
      </w:r>
    </w:p>
    <w:p>
      <w:pPr>
        <w:spacing w:before="80" w:after="120" w:line="276"/>
        <w:jc w:val="both"/>
      </w:pPr>
      <w:r>
        <w:rPr>
          <w:rFonts w:ascii="Arial" w:cs="Arial" w:eastAsia="Arial" w:hAnsi="Arial"/>
          <w:i w:val="false"/>
          <w:iCs w:val="false"/>
          <w:sz w:val="22"/>
          <w:szCs w:val="22"/>
        </w:rPr>
        <w:t xml:space="preserve">The Reformation's emphasis on the priesthood of all believers, the direct relationship between each person and God, and the centrality of free conscience all resonate with Mattos's framework. His rejection of institutional mediation, his emphasis on individual covenant with God, and his Augustinian eschatology are broadly Protestant in spirit. However, he diverges from Protestant orthodoxy by grounding salvation in virtuous action rather than in faith alone (sola fide), and by largely bypassing the role of Scripture as theological authority.</w:t>
      </w:r>
    </w:p>
    <w:p>
      <w:pPr>
        <w:pStyle w:val="Heading2"/>
        <w:spacing w:before="300" w:after="120"/>
      </w:pPr>
      <w:r>
        <w:rPr>
          <w:rFonts w:ascii="Arial" w:cs="Arial" w:eastAsia="Arial" w:hAnsi="Arial"/>
          <w:b/>
          <w:bCs/>
          <w:color w:val="2C5F8A"/>
          <w:sz w:val="27"/>
          <w:szCs w:val="27"/>
        </w:rPr>
        <w:t xml:space="preserve">4.3  With Orthodox Theology</w:t>
      </w:r>
    </w:p>
    <w:p>
      <w:pPr>
        <w:spacing w:before="80" w:after="120" w:line="276"/>
        <w:jc w:val="both"/>
      </w:pPr>
      <w:r>
        <w:rPr>
          <w:rFonts w:ascii="Arial" w:cs="Arial" w:eastAsia="Arial" w:hAnsi="Arial"/>
          <w:i w:val="false"/>
          <w:iCs w:val="false"/>
          <w:sz w:val="22"/>
          <w:szCs w:val="22"/>
        </w:rPr>
        <w:t xml:space="preserve">The strongest resonances are with Eastern Orthodox theology: the concept of theosis/deification, the emphasis on the divine energies active in human virtuous life, the apophatic approach to God (God is beyond all concepts), and the cosmic eschatology all echo Orthodox thought. Mattos's 'BioSpiritual' concept of virtues as the interface between biological and eternal life strongly parallels the Orthodox theology of the transfiguration of matter. His phrase 'Man is God in each virtuous behavior' would be at home in the writings of Athanasius or Maximus the Confessor, though Orthodox theology would insist on the liturgical-ecclesial context Mattos omits.</w:t>
      </w:r>
    </w:p>
    <w:p>
      <w:pPr>
        <w:pStyle w:val="Heading2"/>
        <w:spacing w:before="300" w:after="120"/>
      </w:pPr>
      <w:r>
        <w:rPr>
          <w:rFonts w:ascii="Arial" w:cs="Arial" w:eastAsia="Arial" w:hAnsi="Arial"/>
          <w:b/>
          <w:bCs/>
          <w:color w:val="2C5F8A"/>
          <w:sz w:val="27"/>
          <w:szCs w:val="27"/>
        </w:rPr>
        <w:t xml:space="preserve">4.4  With Liberation Theology</w:t>
      </w:r>
    </w:p>
    <w:p>
      <w:pPr>
        <w:spacing w:before="80" w:after="120" w:line="276"/>
        <w:jc w:val="both"/>
      </w:pPr>
      <w:r>
        <w:rPr>
          <w:rFonts w:ascii="Arial" w:cs="Arial" w:eastAsia="Arial" w:hAnsi="Arial"/>
          <w:i w:val="false"/>
          <w:iCs w:val="false"/>
          <w:sz w:val="22"/>
          <w:szCs w:val="22"/>
        </w:rPr>
        <w:t xml:space="preserve">The book's emphasis on the poor, on justice, on the structural nature of sin (here called 'tyranny'), and on the God-Freedom identification resonates with liberation theology (Gutierrez, Boff, Segundo). However, Mattos diverges sharply from the liberationist tradition in his emphasis on individual virtue over structural analysis, his libertarian economics (free market, private property as virtues), and his identification of the political left as a primary source of contemporary tyranny — a reversal of the classical liberationist framework.</w:t>
      </w:r>
    </w:p>
    <w:p>
      <w:pPr>
        <w:pStyle w:val="Heading2"/>
        <w:spacing w:before="300" w:after="120"/>
      </w:pPr>
      <w:r>
        <w:rPr>
          <w:rFonts w:ascii="Arial" w:cs="Arial" w:eastAsia="Arial" w:hAnsi="Arial"/>
          <w:b/>
          <w:bCs/>
          <w:color w:val="2C5F8A"/>
          <w:sz w:val="27"/>
          <w:szCs w:val="27"/>
        </w:rPr>
        <w:t xml:space="preserve">4.5  With Non-Christian Traditions</w:t>
      </w:r>
    </w:p>
    <w:p>
      <w:pPr>
        <w:spacing w:before="80" w:after="120" w:line="276"/>
        <w:jc w:val="both"/>
      </w:pPr>
      <w:r>
        <w:rPr>
          <w:rFonts w:ascii="Arial" w:cs="Arial" w:eastAsia="Arial" w:hAnsi="Arial"/>
          <w:i w:val="false"/>
          <w:iCs w:val="false"/>
          <w:sz w:val="22"/>
          <w:szCs w:val="22"/>
        </w:rPr>
        <w:t xml:space="preserve">The book's explicit inclusion of Confucius, the Buddha, Muhammad, and Moses alongside Jesus and the Christian saints as sources of Universal Virtues reflects an irenic comparative theology. Confucian virtues (ren, yi, li) are structurally compatible with Mattos's system; Buddhist paramitas (generosity, ethics, patience, effort, meditation, wisdom) overlap with his 101 virtues; Islamic virtue ethics (the virtues of the Prophet as model of character) finds resonance in his emphasis on practical lived virtue. The genuinely novel claim is not that these traditions share virtues — that is widely acknowledged — but that their shared virtues constitute the DNA of God, making virtuous behavior across all these traditions literally divine action.</w:t>
      </w:r>
    </w:p>
    <w:p>
      <w:pPr>
        <w:spacing w:before="0" w:after="0"/>
      </w:pPr>
      <w:r>
        <w:t xml:space="preserve"/>
      </w:r>
    </w:p>
    <w:p>
      <w:pPr>
        <w:pStyle w:val="Heading1"/>
        <w:spacing w:before="400" w:after="160"/>
      </w:pPr>
      <w:r>
        <w:rPr>
          <w:rFonts w:ascii="Arial" w:cs="Arial" w:eastAsia="Arial" w:hAnsi="Arial"/>
          <w:b/>
          <w:bCs/>
          <w:color w:val="1A3558"/>
          <w:sz w:val="34"/>
          <w:szCs w:val="34"/>
        </w:rPr>
        <w:t xml:space="preserve">5. Critical Theological Assessment</w:t>
      </w:r>
    </w:p>
    <w:p>
      <w:pPr>
        <w:pStyle w:val="Heading3"/>
        <w:spacing w:before="200" w:after="100"/>
      </w:pPr>
      <w:r>
        <w:rPr>
          <w:rFonts w:ascii="Arial" w:cs="Arial" w:eastAsia="Arial" w:hAnsi="Arial"/>
          <w:b/>
          <w:bCs/>
          <w:color w:val="8B6914"/>
          <w:sz w:val="24"/>
          <w:szCs w:val="24"/>
        </w:rPr>
        <w:t xml:space="preserve">Theological Strengths</w:t>
      </w:r>
    </w:p>
    <w:p>
      <w:pPr>
        <w:spacing w:before="80" w:after="120" w:line="276"/>
        <w:jc w:val="both"/>
      </w:pPr>
      <w:r>
        <w:rPr>
          <w:rFonts w:ascii="Arial" w:cs="Arial" w:eastAsia="Arial" w:hAnsi="Arial"/>
          <w:i w:val="false"/>
          <w:iCs w:val="false"/>
          <w:sz w:val="22"/>
          <w:szCs w:val="22"/>
        </w:rPr>
        <w:t xml:space="preserve">The book's most theologically powerful moves are: (1) the democratization of theosis — bringing the Orthodox tradition's highest spiritual aspiration within reach of every person who acts virtuously; (2) the identification of behavioral universals as empirical-theological evidence, offering a genuinely contemporary form of the moral argument; (3) the BioSpiritual concept, which offers a non-dualist theological anthropology adequate to the embodied, evolutionary understanding of human nature; (4) the bold identification of Freedom as the name of God, which cuts through centuries of ecclesial and political manipulation of religion by re-anchoring theology in the irreducible human experience of freedom.</w:t>
      </w:r>
    </w:p>
    <w:p>
      <w:pPr>
        <w:pStyle w:val="Heading3"/>
        <w:spacing w:before="200" w:after="100"/>
      </w:pPr>
      <w:r>
        <w:rPr>
          <w:rFonts w:ascii="Arial" w:cs="Arial" w:eastAsia="Arial" w:hAnsi="Arial"/>
          <w:b/>
          <w:bCs/>
          <w:color w:val="8B6914"/>
          <w:sz w:val="24"/>
          <w:szCs w:val="24"/>
        </w:rPr>
        <w:t xml:space="preserve">Theological Limitations and Tensions</w:t>
      </w:r>
    </w:p>
    <w:p>
      <w:pPr>
        <w:spacing w:before="80" w:after="120" w:line="276"/>
        <w:jc w:val="both"/>
      </w:pPr>
      <w:r>
        <w:rPr>
          <w:rFonts w:ascii="Arial" w:cs="Arial" w:eastAsia="Arial" w:hAnsi="Arial"/>
          <w:i w:val="false"/>
          <w:iCs w:val="false"/>
          <w:sz w:val="22"/>
          <w:szCs w:val="22"/>
        </w:rPr>
        <w:t xml:space="preserve">Several tensions require acknowledgment. The identification of God's essence with Freedom risks theological reductionism — no single attribute can exhaust the divine nature. The quasi-empirical 'proof' via behavioral universals, while rhetorically powerful, does not rise to the standard of formal theological argumentation. The integration of quantum physics as theological evidence reflects a common confusion between physical metaphors and metaphysical claims. The book's anti-institutional bias, while spiritually refreshing, risks underestimating the role of community, liturgy, Scripture, and tradition in the formation of virtuous persons — all of which classical theology has emphasized. Finally, the book's heavy identification of contemporary tyranny (specifically leftist and globalist) with theological evil risks subordinating theology to partisan politics.</w:t>
      </w:r>
    </w:p>
    <w:p>
      <w:pPr>
        <w:pStyle w:val="Heading3"/>
        <w:spacing w:before="200" w:after="100"/>
      </w:pPr>
      <w:r>
        <w:rPr>
          <w:rFonts w:ascii="Arial" w:cs="Arial" w:eastAsia="Arial" w:hAnsi="Arial"/>
          <w:b/>
          <w:bCs/>
          <w:color w:val="8B6914"/>
          <w:sz w:val="24"/>
          <w:szCs w:val="24"/>
        </w:rPr>
        <w:t xml:space="preserve">Overall Theological Significance</w:t>
      </w:r>
    </w:p>
    <w:p>
      <w:pPr>
        <w:spacing w:before="80" w:after="120" w:line="276"/>
        <w:jc w:val="both"/>
      </w:pPr>
      <w:r>
        <w:rPr>
          <w:rFonts w:ascii="Arial" w:cs="Arial" w:eastAsia="Arial" w:hAnsi="Arial"/>
          <w:i w:val="false"/>
          <w:iCs w:val="false"/>
          <w:sz w:val="22"/>
          <w:szCs w:val="22"/>
        </w:rPr>
        <w:t xml:space="preserve">Despite these limitations, Filosofia das Virtudes represents a theologically significant work in the tradition of lay theology — theology written from outside the academy, from lived experience, and addressed to the full range of human spiritual concerns. Its most lasting theological contributions are likely to be the concept of God as Freedom, the democratization of theosis through virtuous action, and the framing of virtues as the DNA of God — a set of ideas that, if properly developed, could enrich both academic theology and pastoral practice. The book's explicit attempt to synthesize Christianity, comparative religion, political theology, and natural theology into a single virtue-centered framework is itself a theological achievement, regardless of the uneven development of its individual claims.</w:t>
      </w:r>
    </w:p>
    <w:p>
      <w:pPr>
        <w:spacing w:before="0" w:after="0"/>
      </w:pPr>
      <w:r>
        <w:t xml:space="preserve"/>
      </w:r>
    </w:p>
    <w:p>
      <w:pPr>
        <w:pStyle w:val="Heading1"/>
        <w:spacing w:before="400" w:after="160"/>
      </w:pPr>
      <w:r>
        <w:rPr>
          <w:rFonts w:ascii="Arial" w:cs="Arial" w:eastAsia="Arial" w:hAnsi="Arial"/>
          <w:b/>
          <w:bCs/>
          <w:color w:val="1A3558"/>
          <w:sz w:val="34"/>
          <w:szCs w:val="34"/>
        </w:rPr>
        <w:t xml:space="preserve">6. Conclusion</w:t>
      </w:r>
    </w:p>
    <w:p>
      <w:pPr>
        <w:spacing w:before="80" w:after="120" w:line="276"/>
        <w:jc w:val="both"/>
      </w:pPr>
      <w:r>
        <w:rPr>
          <w:rFonts w:ascii="Arial" w:cs="Arial" w:eastAsia="Arial" w:hAnsi="Arial"/>
          <w:i w:val="false"/>
          <w:iCs w:val="false"/>
          <w:sz w:val="22"/>
          <w:szCs w:val="22"/>
        </w:rPr>
        <w:t xml:space="preserve">Filosofia das Virtudes makes genuine and significant original contributions to global theological discourse, particularly in the following areas: the identification of Freedom as the primary divine attribute and name of God; the framing of Universal Human Virtues as the DNA of God and empirical trace of divine presence; the radical democratization of theosis/deification to every person in every act of virtue; the construction of a non-institutional, non-creedal, behavioral universal religion; and the proposal of a contemporary political eschatology centered on the Freedom-Tyranny axis.</w:t>
      </w:r>
    </w:p>
    <w:p>
      <w:pPr>
        <w:spacing w:before="80" w:after="120" w:line="276"/>
        <w:jc w:val="both"/>
      </w:pPr>
      <w:r>
        <w:rPr>
          <w:rFonts w:ascii="Arial" w:cs="Arial" w:eastAsia="Arial" w:hAnsi="Arial"/>
          <w:i w:val="false"/>
          <w:iCs w:val="false"/>
          <w:sz w:val="22"/>
          <w:szCs w:val="22"/>
        </w:rPr>
        <w:t xml:space="preserve">Measured against the classical bibliography — from Aquinas's Summa Theologica to Barth's Church Dogmatics, from Athanasius to Teilhard de Chardin, from the Sufi masters to the Zen tradition — the book occupies an original space: it is neither academic systematic theology nor devotional literature, but a prophetic lay theology that draws on all traditions to construct a new theological framework adequate to the spiritual and political crises of the 21st century.</w:t>
      </w:r>
    </w:p>
    <w:p>
      <w:pPr>
        <w:spacing w:before="80" w:after="120" w:line="276"/>
        <w:jc w:val="both"/>
      </w:pPr>
      <w:r>
        <w:rPr>
          <w:rFonts w:ascii="Arial" w:cs="Arial" w:eastAsia="Arial" w:hAnsi="Arial"/>
          <w:i w:val="false"/>
          <w:iCs w:val="false"/>
          <w:sz w:val="22"/>
          <w:szCs w:val="22"/>
        </w:rPr>
        <w:t xml:space="preserve">The author's own words best capture the theological ambition of the work: 'Separate the core of all the religions and beliefs of the world — what will you have? The Universal Human Virtues, whose base is Freedom. God is Freedom.' Whether or not one accepts this identification, it represents a bold theological hypothesis that invites serious engagement from theologians of all traditions.</w:t>
      </w:r>
    </w:p>
    <w:p>
      <w:pPr>
        <w:spacing w:before="0" w:after="0"/>
      </w:pPr>
      <w:r>
        <w:t xml:space="preserve"/>
      </w:r>
    </w:p>
    <w:p>
      <w:pPr>
        <w:pBdr>
          <w:bottom w:val="single" w:color="8B6914" w:sz="6" w:space="1"/>
        </w:pBdr>
        <w:spacing w:before="120" w:after="120"/>
      </w:pPr>
      <w:r>
        <w:t xml:space="preserve"/>
      </w:r>
    </w:p>
    <w:p>
      <w:pPr>
        <w:spacing w:before="160" w:after="160"/>
        <w:jc w:val="center"/>
      </w:pPr>
      <w:r>
        <w:rPr>
          <w:rFonts w:ascii="Arial" w:cs="Arial" w:eastAsia="Arial" w:hAnsi="Arial"/>
          <w:i/>
          <w:iCs/>
          <w:color w:val="888888"/>
          <w:sz w:val="18"/>
          <w:szCs w:val="18"/>
        </w:rPr>
        <w:t xml:space="preserve">Theological Analysis prepared from complete text study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A3558"/>
      <w:sz w:val="34"/>
      <w:szCs w:val="34"/>
    </w:rPr>
  </w:style>
  <w:style w:type="paragraph" w:styleId="Heading2">
    <w:name w:val="Heading 2"/>
    <w:basedOn w:val="Normal"/>
    <w:next w:val="Normal"/>
    <w:qFormat/>
    <w:pPr>
      <w:spacing w:before="300" w:after="120"/>
      <w:outlineLvl w:val="1"/>
    </w:pPr>
    <w:rPr>
      <w:rFonts w:ascii="Arial" w:cs="Arial" w:eastAsia="Arial" w:hAnsi="Arial"/>
      <w:b/>
      <w:bCs/>
      <w:color w:val="2C5F8A"/>
      <w:sz w:val="27"/>
      <w:szCs w:val="27"/>
    </w:rPr>
  </w:style>
  <w:style w:type="paragraph" w:styleId="Heading3">
    <w:name w:val="Heading 3"/>
    <w:basedOn w:val="Normal"/>
    <w:next w:val="Normal"/>
    <w:qFormat/>
    <w:pPr>
      <w:spacing w:before="200" w:after="100"/>
      <w:outlineLvl w:val="2"/>
    </w:pPr>
    <w:rPr>
      <w:rFonts w:ascii="Arial" w:cs="Arial" w:eastAsia="Arial" w:hAnsi="Arial"/>
      <w:b/>
      <w:bCs/>
      <w:color w:val="8B691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2026-03-10T13:01:00.435Z</dcterms:created>
  <dcterms:modified xsi:type="dcterms:W3CDTF">2026-03-10T13:01:00.435Z</dcterms:modified>
</cp:coreProperties>
</file>

<file path=docProps/custom.xml><?xml version="1.0" encoding="utf-8"?>
<Properties xmlns="http://schemas.openxmlformats.org/officeDocument/2006/custom-properties" xmlns:vt="http://schemas.openxmlformats.org/officeDocument/2006/docPropsVTypes"/>
</file>