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pPr>
      <w:r>
        <w:rPr>
          <w:sz w:val="24"/>
          <w:szCs w:val="24"/>
        </w:rPr>
        <w:t xml:space="preserve"/>
      </w:r>
    </w:p>
    <w:p>
      <w:pPr>
        <w:spacing w:after="100" w:before="0"/>
      </w:pPr>
      <w:r>
        <w:rPr>
          <w:sz w:val="24"/>
          <w:szCs w:val="24"/>
        </w:rPr>
        <w:t xml:space="preserve"/>
      </w:r>
    </w:p>
    <w:p>
      <w:pPr>
        <w:spacing w:after="100" w:before="0"/>
      </w:pPr>
      <w:r>
        <w:rPr>
          <w:sz w:val="24"/>
          <w:szCs w:val="24"/>
        </w:rPr>
        <w:t xml:space="preserve"/>
      </w:r>
    </w:p>
    <w:p>
      <w:pPr>
        <w:spacing w:after="60" w:before="480"/>
        <w:jc w:val="center"/>
      </w:pPr>
      <w:r>
        <w:rPr>
          <w:rFonts w:ascii="Arial" w:cs="Arial" w:eastAsia="Arial" w:hAnsi="Arial"/>
          <w:b/>
          <w:bCs/>
          <w:color w:val="111111"/>
          <w:sz w:val="44"/>
          <w:szCs w:val="44"/>
        </w:rPr>
        <w:t xml:space="preserve">ABSOLUTE SELF-ORIGINATION</w:t>
      </w:r>
    </w:p>
    <w:p>
      <w:pPr>
        <w:spacing w:after="40" w:before="0"/>
        <w:jc w:val="center"/>
      </w:pPr>
      <w:r>
        <w:rPr>
          <w:rFonts w:ascii="Arial" w:cs="Arial" w:eastAsia="Arial" w:hAnsi="Arial"/>
          <w:i/>
          <w:iCs/>
          <w:sz w:val="26"/>
          <w:szCs w:val="26"/>
        </w:rPr>
        <w:t xml:space="preserve">A Systematic Philosophical Framework for Consciousness,</w:t>
      </w:r>
    </w:p>
    <w:p>
      <w:pPr>
        <w:spacing w:after="360" w:before="0"/>
        <w:jc w:val="center"/>
      </w:pPr>
      <w:r>
        <w:rPr>
          <w:rFonts w:ascii="Arial" w:cs="Arial" w:eastAsia="Arial" w:hAnsi="Arial"/>
          <w:i/>
          <w:iCs/>
          <w:sz w:val="26"/>
          <w:szCs w:val="26"/>
        </w:rPr>
        <w:t xml:space="preserve">Life, Freedom, and Their Ontological Ground</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spacing w:after="60" w:before="0"/>
        <w:jc w:val="center"/>
      </w:pPr>
      <w:r>
        <w:rPr>
          <w:rFonts w:ascii="Arial" w:cs="Arial" w:eastAsia="Arial" w:hAnsi="Arial"/>
          <w:b/>
          <w:bCs/>
          <w:sz w:val="26"/>
          <w:szCs w:val="26"/>
        </w:rPr>
        <w:t xml:space="preserve">José Caetano de Mattos</w:t>
      </w:r>
    </w:p>
    <w:p>
      <w:pPr>
        <w:spacing w:after="60" w:before="0"/>
        <w:jc w:val="center"/>
      </w:pPr>
      <w:r>
        <w:rPr>
          <w:rFonts w:ascii="Arial" w:cs="Arial" w:eastAsia="Arial" w:hAnsi="Arial"/>
          <w:i/>
          <w:iCs/>
          <w:color w:val="555555"/>
          <w:sz w:val="22"/>
          <w:szCs w:val="22"/>
        </w:rPr>
        <w:t xml:space="preserve">Filosofia das Virtudes</w:t>
      </w:r>
    </w:p>
    <w:p>
      <w:pPr>
        <w:spacing w:after="480" w:before="0"/>
        <w:jc w:val="center"/>
      </w:pPr>
      <w:r>
        <w:rPr>
          <w:rFonts w:ascii="Arial" w:cs="Arial" w:eastAsia="Arial" w:hAnsi="Arial"/>
          <w:color w:val="888888"/>
          <w:sz w:val="20"/>
          <w:szCs w:val="20"/>
        </w:rPr>
        <w:t xml:space="preserve">Merano · 2026</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spacing w:after="120" w:before="200"/>
        <w:jc w:val="center"/>
      </w:pPr>
      <w:r>
        <w:rPr>
          <w:rFonts w:ascii="Arial" w:cs="Arial" w:eastAsia="Arial" w:hAnsi="Arial"/>
          <w:b/>
          <w:bCs/>
          <w:sz w:val="24"/>
          <w:szCs w:val="24"/>
        </w:rPr>
        <w:t xml:space="preserve">Abstract</w:t>
      </w:r>
    </w:p>
    <w:p>
      <w:pPr>
        <w:spacing w:after="200" w:before="0" w:line="320" w:lineRule="auto"/>
        <w:ind w:left="720" w:right="720"/>
        <w:jc w:val="both"/>
      </w:pPr>
      <w:r>
        <w:rPr>
          <w:rFonts w:ascii="Arial" w:cs="Arial" w:eastAsia="Arial" w:hAnsi="Arial"/>
          <w:i w:val="false"/>
          <w:iCs w:val="false"/>
          <w:sz w:val="22"/>
          <w:szCs w:val="22"/>
        </w:rPr>
        <w:t xml:space="preserve">This article presents a systematic philosophical framework — the Theory of Absolute Self-Origination (ASO) — developed through a method of negative cartography: the identification of questions that major intellectual traditions have approached without formally entering. The central claim is that the phenomena of consciousness, life, and freedom share a common deep structure, formally characterised as the fixed point O(O) = O — a self-referential act that constitutes its own ground. The article derives a series of interconnected philosophical arguments, designated as theses, covering the orientational structure of consciousness, the threshold conditions for phenomenological experience, the formal ground of experiential unity, the ontological relation between freedom and consciousness, and the structure of suffering as constitutive tension in a finite being. The article distinguishes carefully between arguments that are formally rigorous, those that are philosophically well-motivated, and those that are speculative but productive. Connections to independent research in neuroscience, biology, and psychology are discussed as convergent support rather than confirmation. The article concludes by identifying the structural limit of the framework — the frontier beyond which its methods do not reach — and arguing that locating this limit precisely is itself a philosophical contribution.</w:t>
      </w:r>
    </w:p>
    <w:p>
      <w:pPr>
        <w:spacing w:after="200" w:before="0" w:line="320" w:lineRule="auto"/>
        <w:ind w:left="720" w:right="720"/>
        <w:jc w:val="both"/>
      </w:pPr>
      <w:r>
        <w:rPr>
          <w:rFonts w:ascii="Arial" w:cs="Arial" w:eastAsia="Arial" w:hAnsi="Arial"/>
          <w:b/>
          <w:bCs/>
          <w:sz w:val="22"/>
          <w:szCs w:val="22"/>
        </w:rPr>
        <w:t xml:space="preserve">Keywords: </w:t>
      </w:r>
      <w:r>
        <w:rPr>
          <w:rFonts w:ascii="Arial" w:cs="Arial" w:eastAsia="Arial" w:hAnsi="Arial"/>
          <w:sz w:val="22"/>
          <w:szCs w:val="22"/>
        </w:rPr>
        <w:t xml:space="preserve">consciousness, philosophy of mind, ontology, self-reference, autopoiesis, freedom, suffering, virtue ethics, Hard Problem, fixed-point theory.</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pStyle w:val="Heading1"/>
        <w:spacing w:after="200" w:before="480"/>
      </w:pPr>
      <w:r>
        <w:rPr>
          <w:rFonts w:ascii="Arial" w:cs="Arial" w:eastAsia="Arial" w:hAnsi="Arial"/>
          <w:b/>
          <w:bCs/>
          <w:color w:val="111111"/>
          <w:sz w:val="30"/>
          <w:szCs w:val="30"/>
        </w:rPr>
        <w:t xml:space="preserve">I. Introduction</w:t>
      </w:r>
    </w:p>
    <w:p>
      <w:pPr>
        <w:spacing w:after="160" w:before="0" w:line="360" w:lineRule="auto"/>
        <w:ind w:firstLine="720"/>
        <w:jc w:val="both"/>
      </w:pPr>
      <w:r>
        <w:rPr>
          <w:rFonts w:ascii="Arial" w:cs="Arial" w:eastAsia="Arial" w:hAnsi="Arial"/>
          <w:sz w:val="24"/>
          <w:szCs w:val="24"/>
        </w:rPr>
        <w:t xml:space="preserve">Philosophy progresses not only by answering questions but by identifying questions that have not yet been formally posed. The present article proceeds from the observation that a particular question — what single structural feature, if any, is shared by consciousness, life, and freedom — has been consistently approached but not systematically addressed in the literature. Each phenomenon has been extensively theorised in isolation. The question of their possible common structure has not.</w:t>
      </w:r>
    </w:p>
    <w:p>
      <w:pPr>
        <w:spacing w:after="160" w:before="0" w:line="360" w:lineRule="auto"/>
        <w:ind w:firstLine="720"/>
        <w:jc w:val="both"/>
      </w:pPr>
      <w:r>
        <w:rPr>
          <w:rFonts w:ascii="Arial" w:cs="Arial" w:eastAsia="Arial" w:hAnsi="Arial"/>
          <w:sz w:val="24"/>
          <w:szCs w:val="24"/>
        </w:rPr>
        <w:t xml:space="preserve">The approach taken here is what the author calls negative cartography: surveying the tradition not for what has been said, but for what has been consistently left unsaid. The productive site is the structurally unanswered question, not the insufficiently answered one. This method is not novel — it echoes the phenomenological reduction, Heidegger's destructive retrieval, and the general practice of philosophical problem identification — but the present application is systematic and explicitly methodological.</w:t>
      </w:r>
    </w:p>
    <w:p>
      <w:pPr>
        <w:spacing w:after="160" w:before="0" w:line="360" w:lineRule="auto"/>
        <w:ind w:firstLine="720"/>
        <w:jc w:val="both"/>
      </w:pPr>
      <w:r>
        <w:rPr>
          <w:rFonts w:ascii="Arial" w:cs="Arial" w:eastAsia="Arial" w:hAnsi="Arial"/>
          <w:sz w:val="24"/>
          <w:szCs w:val="24"/>
        </w:rPr>
        <w:t xml:space="preserve">The central claim of this article is that consciousness, life, and freedom are best understood as instantiations of a single formal structure: a self-referential process that constitutes its own ground. This structure is designated Absolute Self-Origination (ASO) and formalised as the fixed point O(O) = O. The claim is philosophical, not physical or mathematical in the technical sense. The invocation of fixed-point theory is structural and analogical: it provides a precise vocabulary for describing self-referential processes without claiming to derive empirical results from mathematical theorems.</w:t>
      </w:r>
    </w:p>
    <w:p>
      <w:pPr>
        <w:spacing w:after="160" w:before="0" w:line="360" w:lineRule="auto"/>
        <w:ind w:firstLine="720"/>
        <w:jc w:val="both"/>
      </w:pPr>
      <w:r>
        <w:rPr>
          <w:rFonts w:ascii="Arial" w:cs="Arial" w:eastAsia="Arial" w:hAnsi="Arial"/>
          <w:sz w:val="24"/>
          <w:szCs w:val="24"/>
        </w:rPr>
        <w:t xml:space="preserve">This article presents eight philosophical theses derived from or motivated by this central claim. Each thesis is marked with its epistemic status. The article also presents several points of convergence with independent research in neuroscience, biology, and psychology. These convergences are treated as plausibility support, not as verification: philosophical arguments are not confirmed by empirical findings, but they are strengthened when their implications align with evidence from independent disciplines.</w:t>
      </w:r>
    </w:p>
    <w:p>
      <w:pPr>
        <w:spacing w:after="160" w:before="0" w:line="360" w:lineRule="auto"/>
        <w:ind w:firstLine="720"/>
        <w:jc w:val="both"/>
      </w:pPr>
      <w:r>
        <w:rPr>
          <w:rFonts w:ascii="Arial" w:cs="Arial" w:eastAsia="Arial" w:hAnsi="Arial"/>
          <w:sz w:val="24"/>
          <w:szCs w:val="24"/>
        </w:rPr>
        <w:t xml:space="preserve">A word about intellectual honesty is appropriate at the outset. The framework presented here is ambitious in scope. It draws on a wide range of philosophical traditions and scientific research programmes. That breadth is a feature of the project but also a source of risk: the wider the scope, the greater the possibility of superficial connections, equivocations, or overstatements. This article attempts to manage that risk through explicit qualification and clear marking of argument strength. The reader is invited to evaluate each thesis on its own merits.</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pStyle w:val="Heading1"/>
        <w:spacing w:after="200" w:before="480"/>
      </w:pPr>
      <w:r>
        <w:rPr>
          <w:rFonts w:ascii="Arial" w:cs="Arial" w:eastAsia="Arial" w:hAnsi="Arial"/>
          <w:b/>
          <w:bCs/>
          <w:color w:val="111111"/>
          <w:sz w:val="30"/>
          <w:szCs w:val="30"/>
        </w:rPr>
        <w:t xml:space="preserve">II. The Starting Point: A Structural Silence in the Tradition</w:t>
      </w:r>
    </w:p>
    <w:p>
      <w:pPr>
        <w:pStyle w:val="Heading2"/>
        <w:spacing w:after="140" w:before="320"/>
      </w:pPr>
      <w:r>
        <w:rPr>
          <w:rFonts w:ascii="Arial" w:cs="Arial" w:eastAsia="Arial" w:hAnsi="Arial"/>
          <w:b/>
          <w:bCs/>
          <w:color w:val="222222"/>
          <w:sz w:val="24"/>
          <w:szCs w:val="24"/>
        </w:rPr>
        <w:t xml:space="preserve">2.1 The Priority of Matter as Unexamined Assumption</w:t>
      </w:r>
    </w:p>
    <w:p>
      <w:pPr>
        <w:spacing w:after="160" w:before="0" w:line="360" w:lineRule="auto"/>
        <w:ind w:firstLine="720"/>
        <w:jc w:val="both"/>
      </w:pPr>
      <w:r>
        <w:rPr>
          <w:rFonts w:ascii="Arial" w:cs="Arial" w:eastAsia="Arial" w:hAnsi="Arial"/>
          <w:sz w:val="24"/>
          <w:szCs w:val="24"/>
        </w:rPr>
        <w:t xml:space="preserve">The dominant explanatory direction in philosophy of mind, biology, and political philosophy runs upward from matter: matter produces life, life produces consciousness, consciousness enables freedom. This direction is so pervasive that it functions less as a thesis and more as a background assumption — something that determines what counts as a question rather than something that is itself questioned.</w:t>
      </w:r>
    </w:p>
    <w:p>
      <w:pPr>
        <w:spacing w:after="160" w:before="0" w:line="360" w:lineRule="auto"/>
        <w:ind w:firstLine="720"/>
        <w:jc w:val="both"/>
      </w:pPr>
      <w:r>
        <w:rPr>
          <w:rFonts w:ascii="Arial" w:cs="Arial" w:eastAsia="Arial" w:hAnsi="Arial"/>
          <w:sz w:val="24"/>
          <w:szCs w:val="24"/>
        </w:rPr>
        <w:t xml:space="preserve">The present article does not claim that this assumption is false in any straightforward empirical sense. Matter does produce life, in the sense that life is implemented in matter. The question being raised is different: whether this explanatory direction, treated as ontologically fundamental rather than as a useful heuristic, generates systematic explanatory failures. The argument is that it does, and that the most systematic of those failures is the Hard Problem of consciousness.</w:t>
      </w:r>
    </w:p>
    <w:p>
      <w:pPr>
        <w:spacing w:after="160" w:before="0" w:line="360" w:lineRule="auto"/>
        <w:ind w:firstLine="720"/>
        <w:jc w:val="both"/>
      </w:pPr>
      <w:r>
        <w:rPr>
          <w:rFonts w:ascii="Arial" w:cs="Arial" w:eastAsia="Arial" w:hAnsi="Arial"/>
          <w:sz w:val="24"/>
          <w:szCs w:val="24"/>
        </w:rPr>
        <w:t xml:space="preserve">The Hard Problem (Chalmers, 1995, 1996) is the difficulty of explaining why physical processes are accompanied by subjective experience. The problem is not merely that we lack a complete account — it is that the form of explanation we have (functional, causal, informational) appears in principle insufficient to bridge the gap between third-person physical description and first-person phenomenal fact. This explanatory gap (Levine, 1983) is not a temporary limitation of current neuroscience. It is a structural feature of the explanatory relation between physical descriptions and phenomenal facts.</w:t>
      </w:r>
    </w:p>
    <w:p>
      <w:pPr>
        <w:spacing w:after="160" w:before="0" w:line="360" w:lineRule="auto"/>
        <w:ind w:firstLine="720"/>
        <w:jc w:val="both"/>
      </w:pPr>
      <w:r>
        <w:rPr>
          <w:rFonts w:ascii="Arial" w:cs="Arial" w:eastAsia="Arial" w:hAnsi="Arial"/>
          <w:sz w:val="24"/>
          <w:szCs w:val="24"/>
        </w:rPr>
        <w:t xml:space="preserve">The present argument is that the Hard Problem is not a problem to be solved within the materialist framework. It is a symptom of that framework's foundational assumption. If matter is ontologically prior and consciousness is derived, then the existence of subjective experience requires derivation from non-experiential physical facts, and that derivation has the structure of a category error: no amount of physical description generates a phenomenal fact because physical descriptions are, by construction, third-person.</w:t>
      </w:r>
    </w:p>
    <w:p>
      <w:pPr>
        <w:pStyle w:val="Heading2"/>
        <w:spacing w:after="140" w:before="320"/>
      </w:pPr>
      <w:r>
        <w:rPr>
          <w:rFonts w:ascii="Arial" w:cs="Arial" w:eastAsia="Arial" w:hAnsi="Arial"/>
          <w:b/>
          <w:bCs/>
          <w:color w:val="222222"/>
          <w:sz w:val="24"/>
          <w:szCs w:val="24"/>
        </w:rPr>
        <w:t xml:space="preserve">2.2 The Compositional Inversion</w:t>
      </w:r>
    </w:p>
    <w:p>
      <w:pPr>
        <w:spacing w:after="160" w:before="0" w:line="360" w:lineRule="auto"/>
        <w:ind w:firstLine="720"/>
        <w:jc w:val="both"/>
      </w:pPr>
      <w:r>
        <w:rPr>
          <w:rFonts w:ascii="Arial" w:cs="Arial" w:eastAsia="Arial" w:hAnsi="Arial"/>
          <w:sz w:val="24"/>
          <w:szCs w:val="24"/>
        </w:rPr>
        <w:t xml:space="preserve">The methodological move proposed here is what the author calls a compositional inversion: replacing the relational claim (consciousness depends on matter) with the structural claim (matter and consciousness are both expressions of a more fundamental structure, which is constitutively self-referential).</w:t>
      </w:r>
    </w:p>
    <w:p>
      <w:pPr>
        <w:spacing w:after="160" w:before="0" w:line="360" w:lineRule="auto"/>
        <w:ind w:firstLine="720"/>
        <w:jc w:val="both"/>
      </w:pPr>
      <w:r>
        <w:rPr>
          <w:rFonts w:ascii="Arial" w:cs="Arial" w:eastAsia="Arial" w:hAnsi="Arial"/>
          <w:sz w:val="24"/>
          <w:szCs w:val="24"/>
        </w:rPr>
        <w:t xml:space="preserve">This is not idealism in the traditional sense. The claim is not that matter is unreal or that matter is produced by mind. Matter is fully real, and physical descriptions are fully accurate at their level. The claim is that the relation between matter and consciousness is not one of production or emergence but of co-expression: both are formal instantiations of the same underlying self-referential structure at different levels of complexity.</w:t>
      </w:r>
    </w:p>
    <w:p>
      <w:pPr>
        <w:spacing w:after="160" w:before="0" w:line="360" w:lineRule="auto"/>
        <w:ind w:firstLine="720"/>
        <w:jc w:val="both"/>
      </w:pPr>
      <w:r>
        <w:rPr>
          <w:rFonts w:ascii="Arial" w:cs="Arial" w:eastAsia="Arial" w:hAnsi="Arial"/>
          <w:sz w:val="24"/>
          <w:szCs w:val="24"/>
        </w:rPr>
        <w:t xml:space="preserve">The move has a precedent in the history of philosophy. Fichte's Tathandlung (1794) — the self-positing act that is its own ground — is structurally the same move in the domain of the philosophy of the subject. The Upanishadic identity of Atman and Brahman is the same move in the domain of speculative metaphysics. The present article does not claim to derive these results independently. It claims to formalise a structural insight that has been reached independently by several traditions, and to show that this formalisation has productive consequences for contemporary questions in philosophy of mind and ethics.</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pStyle w:val="Heading1"/>
        <w:spacing w:after="200" w:before="480"/>
      </w:pPr>
      <w:r>
        <w:rPr>
          <w:rFonts w:ascii="Arial" w:cs="Arial" w:eastAsia="Arial" w:hAnsi="Arial"/>
          <w:b/>
          <w:bCs/>
          <w:color w:val="111111"/>
          <w:sz w:val="30"/>
          <w:szCs w:val="30"/>
        </w:rPr>
        <w:t xml:space="preserve">III. The Formal Structure: Self-Reference as Ground</w:t>
      </w:r>
    </w:p>
    <w:p>
      <w:pPr>
        <w:pStyle w:val="Heading2"/>
        <w:spacing w:after="140" w:before="320"/>
      </w:pPr>
      <w:r>
        <w:rPr>
          <w:rFonts w:ascii="Arial" w:cs="Arial" w:eastAsia="Arial" w:hAnsi="Arial"/>
          <w:b/>
          <w:bCs/>
          <w:color w:val="222222"/>
          <w:sz w:val="24"/>
          <w:szCs w:val="24"/>
        </w:rPr>
        <w:t xml:space="preserve">3.1 The Fixed Point</w:t>
      </w:r>
    </w:p>
    <w:p>
      <w:pPr>
        <w:spacing w:after="160" w:before="0" w:line="360" w:lineRule="auto"/>
        <w:ind w:firstLine="720"/>
        <w:jc w:val="both"/>
      </w:pPr>
      <w:r>
        <w:rPr>
          <w:rFonts w:ascii="Arial" w:cs="Arial" w:eastAsia="Arial" w:hAnsi="Arial"/>
          <w:sz w:val="24"/>
          <w:szCs w:val="24"/>
        </w:rPr>
        <w:t xml:space="preserve">The formal structure proposed here is the fixed point of a self-referential act. Let O designate an orientational act — a process of being directed toward something. The fixed point of this act is the configuration in which the orientation toward the act is itself the act:</w:t>
      </w:r>
    </w:p>
    <w:p>
      <w:pPr>
        <w:spacing w:after="180" w:before="180"/>
        <w:jc w:val="center"/>
      </w:pPr>
      <w:r>
        <w:rPr>
          <w:rFonts w:ascii="Courier New" w:cs="Courier New" w:eastAsia="Courier New" w:hAnsi="Courier New"/>
          <w:b/>
          <w:bCs/>
          <w:sz w:val="26"/>
          <w:szCs w:val="26"/>
        </w:rPr>
        <w:t xml:space="preserve">O(O) = O</w:t>
      </w:r>
    </w:p>
    <w:p>
      <w:pPr>
        <w:spacing w:after="160" w:before="0" w:line="360" w:lineRule="auto"/>
        <w:ind w:firstLine="720"/>
        <w:jc w:val="both"/>
      </w:pPr>
      <w:r>
        <w:rPr>
          <w:rFonts w:ascii="Arial" w:cs="Arial" w:eastAsia="Arial" w:hAnsi="Arial"/>
          <w:sz w:val="24"/>
          <w:szCs w:val="24"/>
        </w:rPr>
        <w:t xml:space="preserve">In mathematical fixed-point theory, a fixed point of a function f is a value x such that f(x) = x. The present use is not a mathematical claim in the formal sense. It is a structural characterisation: the self-referential act that includes its own act of self-reference as a constituent is formally stable in a way that non-self-referential processes are not.</w:t>
      </w:r>
    </w:p>
    <w:p>
      <w:pPr>
        <w:spacing w:after="160" w:before="0" w:line="360" w:lineRule="auto"/>
        <w:ind w:firstLine="720"/>
        <w:jc w:val="both"/>
      </w:pPr>
      <w:r>
        <w:rPr>
          <w:rFonts w:ascii="Arial" w:cs="Arial" w:eastAsia="Arial" w:hAnsi="Arial"/>
          <w:sz w:val="24"/>
          <w:szCs w:val="24"/>
        </w:rPr>
        <w:t xml:space="preserve">The philosophical claim is this: a system achieves genuine self-reference — includes itself as an object of its own process — when its orientational act meets this condition. Below this threshold, there is orientation toward external objects. At and above this threshold, there is orientation that includes its own orienting as an object. This is the structural difference between a process and a subject.</w:t>
      </w:r>
    </w:p>
    <w:p>
      <w:pPr>
        <w:spacing w:after="160" w:before="0" w:line="360" w:lineRule="auto"/>
        <w:ind w:firstLine="720"/>
        <w:jc w:val="both"/>
      </w:pPr>
      <w:r>
        <w:rPr>
          <w:rFonts w:ascii="Arial" w:cs="Arial" w:eastAsia="Arial" w:hAnsi="Arial"/>
          <w:sz w:val="24"/>
          <w:szCs w:val="24"/>
        </w:rPr>
        <w:t xml:space="preserve">The use of fixed-point vocabulary is intended to provide precision, not to claim mathematical rigour beyond what the argument supports. When this article describes the fixed-point structure as providing 'unique' unity or 'necessary' stability, these are philosophical claims with mathematical analogues, not mathematical proofs. The analogy is substantive: fixed points in well-behaved metric spaces are unique and stable under iteration. The claim is that self-referential processes satisfying the O(O) = O condition exhibit analogous properties. Whether this analogy can be formalised into a rigorous mathematical result is a question for future work.</w:t>
      </w:r>
    </w:p>
    <w:p>
      <w:pPr>
        <w:pStyle w:val="Heading2"/>
        <w:spacing w:after="140" w:before="320"/>
      </w:pPr>
      <w:r>
        <w:rPr>
          <w:rFonts w:ascii="Arial" w:cs="Arial" w:eastAsia="Arial" w:hAnsi="Arial"/>
          <w:b/>
          <w:bCs/>
          <w:color w:val="222222"/>
          <w:sz w:val="24"/>
          <w:szCs w:val="24"/>
        </w:rPr>
        <w:t xml:space="preserve">3.2 Three Levels of Autopoietic Orientation</w:t>
      </w:r>
    </w:p>
    <w:p>
      <w:pPr>
        <w:spacing w:after="160" w:before="0" w:line="360" w:lineRule="auto"/>
        <w:ind w:firstLine="720"/>
        <w:jc w:val="both"/>
      </w:pPr>
      <w:r>
        <w:rPr>
          <w:rFonts w:ascii="Arial" w:cs="Arial" w:eastAsia="Arial" w:hAnsi="Arial"/>
          <w:sz w:val="24"/>
          <w:szCs w:val="24"/>
        </w:rPr>
        <w:t xml:space="preserve">Building on Maturana and Varela's concept of autopoiesis — self-producing, self-maintaining, boundary-constituting organisation (1972, 1980) — the present framework proposes three levels of self-referential depth, designated Omega-zero, Omega-one, and Omega-two.</w:t>
      </w:r>
    </w:p>
    <w:p>
      <w:pPr>
        <w:spacing w:after="160" w:before="0" w:line="360" w:lineRule="auto"/>
        <w:ind w:firstLine="720"/>
        <w:jc w:val="both"/>
      </w:pPr>
      <w:r>
        <w:rPr>
          <w:rFonts w:ascii="Arial" w:cs="Arial" w:eastAsia="Arial" w:hAnsi="Arial"/>
          <w:sz w:val="24"/>
          <w:szCs w:val="24"/>
        </w:rPr>
        <w:t xml:space="preserve">Omega-zero: a system that orients toward external states — responds to environmental gradients, maintains a boundary, sustains its internal organisation. Bacterial chemotaxis is the paradigm case. The system processes information about the environment but does not model itself. There is orientation without self-reference.</w:t>
      </w:r>
    </w:p>
    <w:p>
      <w:pPr>
        <w:spacing w:after="160" w:before="0" w:line="360" w:lineRule="auto"/>
        <w:ind w:firstLine="720"/>
        <w:jc w:val="both"/>
      </w:pPr>
      <w:r>
        <w:rPr>
          <w:rFonts w:ascii="Arial" w:cs="Arial" w:eastAsia="Arial" w:hAnsi="Arial"/>
          <w:sz w:val="24"/>
          <w:szCs w:val="24"/>
        </w:rPr>
        <w:t xml:space="preserve">Omega-one: a system that orients toward its own states — has an internal model of its own condition, responds to deviations from that model. Sophisticated homeostatic regulation and immune system function approximate this level. The system models itself, but the self-model is not yet an object of the modelling process.</w:t>
      </w:r>
    </w:p>
    <w:p>
      <w:pPr>
        <w:spacing w:after="160" w:before="0" w:line="360" w:lineRule="auto"/>
        <w:ind w:firstLine="720"/>
        <w:jc w:val="both"/>
      </w:pPr>
      <w:r>
        <w:rPr>
          <w:rFonts w:ascii="Arial" w:cs="Arial" w:eastAsia="Arial" w:hAnsi="Arial"/>
          <w:sz w:val="24"/>
          <w:szCs w:val="24"/>
        </w:rPr>
        <w:t xml:space="preserve">Omega-two: a system whose orientational process includes its own orientational process as a stable object. The self-referential loop closes: the system orients toward its own orienting. This is the O(O) = O condition. The present argument is that phenomenological presence — the having of experience — is associated with this level of self-referential depth.</w:t>
      </w:r>
    </w:p>
    <w:p>
      <w:pPr>
        <w:spacing w:after="160" w:before="0" w:line="360" w:lineRule="auto"/>
        <w:ind w:firstLine="720"/>
        <w:jc w:val="both"/>
      </w:pPr>
      <w:r>
        <w:rPr>
          <w:rFonts w:ascii="Arial" w:cs="Arial" w:eastAsia="Arial" w:hAnsi="Arial"/>
          <w:sz w:val="24"/>
          <w:szCs w:val="24"/>
        </w:rPr>
        <w:t xml:space="preserve">This is a philosophical thesis, not an empirical finding. The claim is not that all and only systems satisfying the Omega-two condition are conscious. The claim is that the structural feature of second-order self-reference is the most principled criterion available for distinguishing systems with phenomenological presence from systems without it, and that this criterion generates predictions that are consistent with available evidence.</w:t>
      </w:r>
    </w:p>
    <w:p>
      <w:pPr>
        <w:spacing w:after="140" w:before="80" w:line="300" w:lineRule="auto"/>
        <w:ind w:left="0"/>
        <w:jc w:val="both"/>
      </w:pPr>
      <w:r>
        <w:rPr>
          <w:rFonts w:ascii="Arial" w:cs="Arial" w:eastAsia="Arial" w:hAnsi="Arial"/>
          <w:b/>
          <w:bCs/>
          <w:sz w:val="22"/>
          <w:szCs w:val="22"/>
        </w:rPr>
        <w:t xml:space="preserve">Epistemic status: </w:t>
      </w:r>
      <w:r>
        <w:rPr>
          <w:rFonts w:ascii="Arial" w:cs="Arial" w:eastAsia="Arial" w:hAnsi="Arial"/>
          <w:i/>
          <w:iCs/>
          <w:color w:val="444444"/>
          <w:sz w:val="22"/>
          <w:szCs w:val="22"/>
        </w:rPr>
        <w:t xml:space="preserve">This thesis is philosophically well-motivated and consistent with independent research (see Section V), but it is not empirically established. It is a candidate criterion, not a confirmed one.</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pStyle w:val="Heading1"/>
        <w:spacing w:after="200" w:before="480"/>
      </w:pPr>
      <w:r>
        <w:rPr>
          <w:rFonts w:ascii="Arial" w:cs="Arial" w:eastAsia="Arial" w:hAnsi="Arial"/>
          <w:b/>
          <w:bCs/>
          <w:color w:val="111111"/>
          <w:sz w:val="30"/>
          <w:szCs w:val="30"/>
        </w:rPr>
        <w:t xml:space="preserve">IV. Eight Philosophical Theses</w:t>
      </w:r>
    </w:p>
    <w:p>
      <w:pPr>
        <w:pStyle w:val="Heading2"/>
        <w:spacing w:after="140" w:before="320"/>
      </w:pPr>
      <w:r>
        <w:rPr>
          <w:rFonts w:ascii="Arial" w:cs="Arial" w:eastAsia="Arial" w:hAnsi="Arial"/>
          <w:b/>
          <w:bCs/>
          <w:color w:val="222222"/>
          <w:sz w:val="24"/>
          <w:szCs w:val="24"/>
        </w:rPr>
        <w:t xml:space="preserve">Thesis I: The Orientational Character of Consciousness (OCT)</w:t>
      </w:r>
    </w:p>
    <w:p>
      <w:pPr>
        <w:spacing w:after="140" w:before="80" w:line="300" w:lineRule="auto"/>
        <w:ind w:left="0"/>
        <w:jc w:val="both"/>
      </w:pPr>
      <w:r>
        <w:rPr>
          <w:rFonts w:ascii="Arial" w:cs="Arial" w:eastAsia="Arial" w:hAnsi="Arial"/>
          <w:b/>
          <w:bCs/>
          <w:sz w:val="22"/>
          <w:szCs w:val="22"/>
        </w:rPr>
        <w:t xml:space="preserve">Epistemic status: </w:t>
      </w:r>
      <w:r>
        <w:rPr>
          <w:rFonts w:ascii="Arial" w:cs="Arial" w:eastAsia="Arial" w:hAnsi="Arial"/>
          <w:i/>
          <w:iCs/>
          <w:color w:val="444444"/>
          <w:sz w:val="22"/>
          <w:szCs w:val="22"/>
        </w:rPr>
        <w:t xml:space="preserve">Philosophically argued. Strong convergence with phenomenological tradition (Husserl, Brentano) and empirical consciousness research.</w:t>
      </w:r>
    </w:p>
    <w:p>
      <w:pPr>
        <w:spacing w:after="100" w:before="0"/>
      </w:pPr>
      <w:r>
        <w:rPr>
          <w:sz w:val="24"/>
          <w:szCs w:val="24"/>
        </w:rPr>
        <w:t xml:space="preserve"/>
      </w:r>
    </w:p>
    <w:p>
      <w:pPr>
        <w:spacing w:after="160" w:before="0" w:line="360" w:lineRule="auto"/>
        <w:ind w:firstLine="720"/>
        <w:jc w:val="both"/>
      </w:pPr>
      <w:r>
        <w:rPr>
          <w:rFonts w:ascii="Arial" w:cs="Arial" w:eastAsia="Arial" w:hAnsi="Arial"/>
          <w:sz w:val="24"/>
          <w:szCs w:val="24"/>
        </w:rPr>
        <w:t xml:space="preserve">The dominant model of consciousness in both analytic philosophy of mind and much of neuroscience treats consciousness as a field, container, or workspace in which mental contents appear. Intentionality — the directedness of mental states toward objects — is treated as a property some mental states have, not as the constitutive structure of consciousness itself.</w:t>
      </w:r>
    </w:p>
    <w:p>
      <w:pPr>
        <w:spacing w:after="160" w:before="0" w:line="360" w:lineRule="auto"/>
        <w:ind w:firstLine="720"/>
        <w:jc w:val="both"/>
      </w:pPr>
      <w:r>
        <w:rPr>
          <w:rFonts w:ascii="Arial" w:cs="Arial" w:eastAsia="Arial" w:hAnsi="Arial"/>
          <w:sz w:val="24"/>
          <w:szCs w:val="24"/>
        </w:rPr>
        <w:t xml:space="preserve">The first thesis proposes an inversion: consciousness is not a container in which orientation occurs. Consciousness is orientation — a constitutively directional process that is prior to the distinction between the container and its contents. This claim has a philosophical precedent in Husserl's analysis of intentionality as the fundamental structure of consciousness (1913), in Brentano's thesis that directedness is the mark of the mental (1874), and in Merleau-Ponty's embodied intentionality (1945). The present thesis extends this tradition by connecting it to the biological concept of autopoiesis.</w:t>
      </w:r>
    </w:p>
    <w:p>
      <w:pPr>
        <w:spacing w:after="160" w:before="0" w:line="360" w:lineRule="auto"/>
        <w:ind w:firstLine="720"/>
        <w:jc w:val="both"/>
      </w:pPr>
      <w:r>
        <w:rPr>
          <w:rFonts w:ascii="Arial" w:cs="Arial" w:eastAsia="Arial" w:hAnsi="Arial"/>
          <w:sz w:val="24"/>
          <w:szCs w:val="24"/>
        </w:rPr>
        <w:t xml:space="preserve">The argument is that the formal properties of autopoietic organisation — self-production, self-maintenance, boundary-constitution, orientation toward continuation — are structurally isomorphic to the properties of conscious orientation. Life and consciousness, on this view, are not related as substrate to emergent property. They are the same formal structure instantiated at different levels of self-referential complexity. At the biochemical level, the structure is autopoietic orientation. At the level of second-order self-reference, it is phenomenologically present orientation.</w:t>
      </w:r>
    </w:p>
    <w:p>
      <w:pPr>
        <w:spacing w:after="160" w:before="0" w:line="360" w:lineRule="auto"/>
        <w:ind w:firstLine="720"/>
        <w:jc w:val="both"/>
      </w:pPr>
      <w:r>
        <w:rPr>
          <w:rFonts w:ascii="Arial" w:cs="Arial" w:eastAsia="Arial" w:hAnsi="Arial"/>
          <w:sz w:val="24"/>
          <w:szCs w:val="24"/>
        </w:rPr>
        <w:t xml:space="preserve">The Hard Problem, on this account, arises from treating life and consciousness as categorically different phenomena that require a causal bridge. If they share a common formal structure, the problem does not arise in the same form. What requires explanation is not how matter produces experience, but why the same structure generates qualitatively different presentations at different levels of self-referential depth. This is a genuine explanatory challenge, but it is a different challenge — and one that does not have the form of a category error.</w:t>
      </w:r>
    </w:p>
    <w:p>
      <w:pPr>
        <w:spacing w:after="100" w:before="0"/>
      </w:pPr>
      <w:r>
        <w:rPr>
          <w:sz w:val="24"/>
          <w:szCs w:val="24"/>
        </w:rPr>
        <w:t xml:space="preserve"/>
      </w:r>
    </w:p>
    <w:p>
      <w:pPr>
        <w:pStyle w:val="Heading2"/>
        <w:spacing w:after="140" w:before="320"/>
      </w:pPr>
      <w:r>
        <w:rPr>
          <w:rFonts w:ascii="Arial" w:cs="Arial" w:eastAsia="Arial" w:hAnsi="Arial"/>
          <w:b/>
          <w:bCs/>
          <w:color w:val="222222"/>
          <w:sz w:val="24"/>
          <w:szCs w:val="24"/>
        </w:rPr>
        <w:t xml:space="preserve">Thesis II: The Resolution Threshold (RTT)</w:t>
      </w:r>
    </w:p>
    <w:p>
      <w:pPr>
        <w:spacing w:after="140" w:before="80" w:line="300" w:lineRule="auto"/>
        <w:ind w:left="0"/>
        <w:jc w:val="both"/>
      </w:pPr>
      <w:r>
        <w:rPr>
          <w:rFonts w:ascii="Arial" w:cs="Arial" w:eastAsia="Arial" w:hAnsi="Arial"/>
          <w:b/>
          <w:bCs/>
          <w:sz w:val="22"/>
          <w:szCs w:val="22"/>
        </w:rPr>
        <w:t xml:space="preserve">Epistemic status: </w:t>
      </w:r>
      <w:r>
        <w:rPr>
          <w:rFonts w:ascii="Arial" w:cs="Arial" w:eastAsia="Arial" w:hAnsi="Arial"/>
          <w:i/>
          <w:iCs/>
          <w:color w:val="444444"/>
          <w:sz w:val="22"/>
          <w:szCs w:val="22"/>
        </w:rPr>
        <w:t xml:space="preserve">Philosophically argued. Consistent with neuroscientific evidence but not established by it. The specific criterion is a proposal, not a finding.</w:t>
      </w:r>
    </w:p>
    <w:p>
      <w:pPr>
        <w:spacing w:after="100" w:before="0"/>
      </w:pPr>
      <w:r>
        <w:rPr>
          <w:sz w:val="24"/>
          <w:szCs w:val="24"/>
        </w:rPr>
        <w:t xml:space="preserve"/>
      </w:r>
    </w:p>
    <w:p>
      <w:pPr>
        <w:spacing w:after="160" w:before="0" w:line="360" w:lineRule="auto"/>
        <w:ind w:firstLine="720"/>
        <w:jc w:val="both"/>
      </w:pPr>
      <w:r>
        <w:rPr>
          <w:rFonts w:ascii="Arial" w:cs="Arial" w:eastAsia="Arial" w:hAnsi="Arial"/>
          <w:sz w:val="24"/>
          <w:szCs w:val="24"/>
        </w:rPr>
        <w:t xml:space="preserve">Every theory of the threshold of consciousness — the conditions under which a physical system has phenomenological presence — faces the Hard Problem in compressed form: why does crossing the threshold make a difference to experience, rather than simply making a difference to information processing?</w:t>
      </w:r>
    </w:p>
    <w:p>
      <w:pPr>
        <w:spacing w:after="160" w:before="0" w:line="360" w:lineRule="auto"/>
        <w:ind w:firstLine="720"/>
        <w:jc w:val="both"/>
      </w:pPr>
      <w:r>
        <w:rPr>
          <w:rFonts w:ascii="Arial" w:cs="Arial" w:eastAsia="Arial" w:hAnsi="Arial"/>
          <w:sz w:val="24"/>
          <w:szCs w:val="24"/>
        </w:rPr>
        <w:t xml:space="preserve">The standard approaches — IIT's integrated information (Tononi, 2004), Global Workspace Theory's broadcast (Baars, 1988; Dehaene, 2014), Higher-Order Theories' meta-representation (Rosenthal, 2005) — each identify a functional criterion for consciousness. Each faces the objection that functional criteria are in principle insufficient to ground the phenomenal fact: why should integrated information, or global broadcast, or higher-order representation be accompanied by experience rather than occurring in the dark?</w:t>
      </w:r>
    </w:p>
    <w:p>
      <w:pPr>
        <w:spacing w:after="160" w:before="0" w:line="360" w:lineRule="auto"/>
        <w:ind w:firstLine="720"/>
        <w:jc w:val="both"/>
      </w:pPr>
      <w:r>
        <w:rPr>
          <w:rFonts w:ascii="Arial" w:cs="Arial" w:eastAsia="Arial" w:hAnsi="Arial"/>
          <w:sz w:val="24"/>
          <w:szCs w:val="24"/>
        </w:rPr>
        <w:t xml:space="preserve">The present proposal is that the relevant criterion is structural rather than functional: the Omega-two condition — second-order self-reference, the closure of the O(O) = O loop. The philosophical argument for privileging this criterion is not that it avoids the Hard Problem but that it identifies the structural feature that makes a system relevantly similar to paradigm cases of conscious experience.</w:t>
      </w:r>
    </w:p>
    <w:p>
      <w:pPr>
        <w:spacing w:after="160" w:before="0" w:line="360" w:lineRule="auto"/>
        <w:ind w:firstLine="720"/>
        <w:jc w:val="both"/>
      </w:pPr>
      <w:r>
        <w:rPr>
          <w:rFonts w:ascii="Arial" w:cs="Arial" w:eastAsia="Arial" w:hAnsi="Arial"/>
          <w:sz w:val="24"/>
          <w:szCs w:val="24"/>
        </w:rPr>
        <w:t xml:space="preserve">Paradigm conscious subjects — adult humans — are systems whose orientation includes their own orienting as an object. They are not merely processing information about the world. They are aware of their own awareness. The Omega-two criterion picks out this feature precisely. The question 'why should this feature be accompanied by experience?' remains unanswered — that is the residue of the Hard Problem, which this thesis does not claim to dissolve. But the criterion is more principled than functional alternatives because it identifies the structural feature that constitutively distinguishes subjects from objects.</w:t>
      </w:r>
    </w:p>
    <w:p>
      <w:pPr>
        <w:spacing w:after="160" w:before="0" w:line="360" w:lineRule="auto"/>
        <w:ind w:firstLine="720"/>
        <w:jc w:val="both"/>
      </w:pPr>
      <w:r>
        <w:rPr>
          <w:rFonts w:ascii="Arial" w:cs="Arial" w:eastAsia="Arial" w:hAnsi="Arial"/>
          <w:sz w:val="24"/>
          <w:szCs w:val="24"/>
        </w:rPr>
        <w:t xml:space="preserve">The criterion generates a gradient rather than a binary. Systems can be more or less deeply self-referential, and on the present account this corresponds to more or less rich phenomenological presence, not to the presence or absence of experience. This gradational account is consistent with the difficulty of drawing sharp boundaries in animal consciousness research and with the phenomenology of altered states.</w:t>
      </w:r>
    </w:p>
    <w:p>
      <w:pPr>
        <w:spacing w:after="100" w:before="0"/>
      </w:pPr>
      <w:r>
        <w:rPr>
          <w:sz w:val="24"/>
          <w:szCs w:val="24"/>
        </w:rPr>
        <w:t xml:space="preserve"/>
      </w:r>
    </w:p>
    <w:p>
      <w:pPr>
        <w:pStyle w:val="Heading2"/>
        <w:spacing w:after="140" w:before="320"/>
      </w:pPr>
      <w:r>
        <w:rPr>
          <w:rFonts w:ascii="Arial" w:cs="Arial" w:eastAsia="Arial" w:hAnsi="Arial"/>
          <w:b/>
          <w:bCs/>
          <w:color w:val="222222"/>
          <w:sz w:val="24"/>
          <w:szCs w:val="24"/>
        </w:rPr>
        <w:t xml:space="preserve">Thesis III: The Unity of Consciousness (UT)</w:t>
      </w:r>
    </w:p>
    <w:p>
      <w:pPr>
        <w:spacing w:after="140" w:before="80" w:line="300" w:lineRule="auto"/>
        <w:ind w:left="0"/>
        <w:jc w:val="both"/>
      </w:pPr>
      <w:r>
        <w:rPr>
          <w:rFonts w:ascii="Arial" w:cs="Arial" w:eastAsia="Arial" w:hAnsi="Arial"/>
          <w:b/>
          <w:bCs/>
          <w:sz w:val="22"/>
          <w:szCs w:val="22"/>
        </w:rPr>
        <w:t xml:space="preserve">Epistemic status: </w:t>
      </w:r>
      <w:r>
        <w:rPr>
          <w:rFonts w:ascii="Arial" w:cs="Arial" w:eastAsia="Arial" w:hAnsi="Arial"/>
          <w:i/>
          <w:iCs/>
          <w:color w:val="444444"/>
          <w:sz w:val="22"/>
          <w:szCs w:val="22"/>
        </w:rPr>
        <w:t xml:space="preserve">Philosophically argued. The invocation of Banach's theorem is structural and analogical, not a formal mathematical proof. The core argument is independent of the mathematical analogy.</w:t>
      </w:r>
    </w:p>
    <w:p>
      <w:pPr>
        <w:spacing w:after="100" w:before="0"/>
      </w:pPr>
      <w:r>
        <w:rPr>
          <w:sz w:val="24"/>
          <w:szCs w:val="24"/>
        </w:rPr>
        <w:t xml:space="preserve"/>
      </w:r>
    </w:p>
    <w:p>
      <w:pPr>
        <w:spacing w:after="160" w:before="0" w:line="360" w:lineRule="auto"/>
        <w:ind w:firstLine="720"/>
        <w:jc w:val="both"/>
      </w:pPr>
      <w:r>
        <w:rPr>
          <w:rFonts w:ascii="Arial" w:cs="Arial" w:eastAsia="Arial" w:hAnsi="Arial"/>
          <w:sz w:val="24"/>
          <w:szCs w:val="24"/>
        </w:rPr>
        <w:t xml:space="preserve">The unity of conscious experience — the fact that my visual field, auditory experience, emotional states, and bodily sensations are experienced as aspects of a single field rather than as separate streams — is one of the central puzzles of consciousness research. The binding problem asks how neural processes that are distributed across the brain give rise to this unified field.</w:t>
      </w:r>
    </w:p>
    <w:p>
      <w:pPr>
        <w:spacing w:after="160" w:before="0" w:line="360" w:lineRule="auto"/>
        <w:ind w:firstLine="720"/>
        <w:jc w:val="both"/>
      </w:pPr>
      <w:r>
        <w:rPr>
          <w:rFonts w:ascii="Arial" w:cs="Arial" w:eastAsia="Arial" w:hAnsi="Arial"/>
          <w:sz w:val="24"/>
          <w:szCs w:val="24"/>
        </w:rPr>
        <w:t xml:space="preserve">The present thesis proposes that the unity of consciousness follows from the structure of second-order self-reference rather than from any particular mechanism of neural integration. The argument is as follows: a self-referential process that includes its own process as an object constitutes a single self-referential loop. The loop is formally one — not because it integrates many things, but because self-reference is constitutively self-relating. Two self-referential systems are two systems. One self-referential system is one system. The unity is a formal consequence of the self-referential structure, not an additional achievement of integration.</w:t>
      </w:r>
    </w:p>
    <w:p>
      <w:pPr>
        <w:spacing w:after="160" w:before="0" w:line="360" w:lineRule="auto"/>
        <w:ind w:firstLine="720"/>
        <w:jc w:val="both"/>
      </w:pPr>
      <w:r>
        <w:rPr>
          <w:rFonts w:ascii="Arial" w:cs="Arial" w:eastAsia="Arial" w:hAnsi="Arial"/>
          <w:sz w:val="24"/>
          <w:szCs w:val="24"/>
        </w:rPr>
        <w:t xml:space="preserve">This argument has a mathematical analogue in fixed-point theory: under appropriate conditions, a contracting self-referential map has a unique fixed point, and every starting configuration converges to that point. The analogy is illuminating: the unity of experience is analogous to the uniqueness and stability of the fixed point. But the argument does not depend on the mathematics. The core claim is that a self-referential process constitutes a single boundary — the boundary between itself and what it is not — and this constitutive singularity is what experiential unity is.</w:t>
      </w:r>
    </w:p>
    <w:p>
      <w:pPr>
        <w:spacing w:after="160" w:before="0" w:line="360" w:lineRule="auto"/>
        <w:ind w:firstLine="720"/>
        <w:jc w:val="both"/>
      </w:pPr>
      <w:r>
        <w:rPr>
          <w:rFonts w:ascii="Arial" w:cs="Arial" w:eastAsia="Arial" w:hAnsi="Arial"/>
          <w:sz w:val="24"/>
          <w:szCs w:val="24"/>
        </w:rPr>
        <w:t xml:space="preserve">The account predicts that disruptions to the self-referential structure will produce fragmentation of experiential unity, not merely alteration of its contents. This is consistent with the phenomenology of severe dissociation and certain psychotic states, in which the sense of unified subjecthood is disrupted rather than merely altered. It is also consistent with split-brain findings: the surgical separation of the hemispheres produces two unified experiential fields rather than one fragmented field, which is what the account predicts — each hemisphere maintains its own self-referential loop with its own constitutive unity.</w:t>
      </w:r>
    </w:p>
    <w:p>
      <w:pPr>
        <w:spacing w:after="100" w:before="0"/>
      </w:pPr>
      <w:r>
        <w:rPr>
          <w:sz w:val="24"/>
          <w:szCs w:val="24"/>
        </w:rPr>
        <w:t xml:space="preserve"/>
      </w:r>
    </w:p>
    <w:p>
      <w:pPr>
        <w:pStyle w:val="Heading2"/>
        <w:spacing w:after="140" w:before="320"/>
      </w:pPr>
      <w:r>
        <w:rPr>
          <w:rFonts w:ascii="Arial" w:cs="Arial" w:eastAsia="Arial" w:hAnsi="Arial"/>
          <w:b/>
          <w:bCs/>
          <w:color w:val="222222"/>
          <w:sz w:val="24"/>
          <w:szCs w:val="24"/>
        </w:rPr>
        <w:t xml:space="preserve">Thesis IV: Being and Consciousness (OIT)</w:t>
      </w:r>
    </w:p>
    <w:p>
      <w:pPr>
        <w:spacing w:after="140" w:before="80" w:line="300" w:lineRule="auto"/>
        <w:ind w:left="0"/>
        <w:jc w:val="both"/>
      </w:pPr>
      <w:r>
        <w:rPr>
          <w:rFonts w:ascii="Arial" w:cs="Arial" w:eastAsia="Arial" w:hAnsi="Arial"/>
          <w:b/>
          <w:bCs/>
          <w:sz w:val="22"/>
          <w:szCs w:val="22"/>
        </w:rPr>
        <w:t xml:space="preserve">Epistemic status: </w:t>
      </w:r>
      <w:r>
        <w:rPr>
          <w:rFonts w:ascii="Arial" w:cs="Arial" w:eastAsia="Arial" w:hAnsi="Arial"/>
          <w:i/>
          <w:iCs/>
          <w:color w:val="444444"/>
          <w:sz w:val="22"/>
          <w:szCs w:val="22"/>
        </w:rPr>
        <w:t xml:space="preserve">Speculative metaphysics. Philosophically motivated by the preceding theses but not derivable from them alone. Convergent with several independent metaphysical traditions.</w:t>
      </w:r>
    </w:p>
    <w:p>
      <w:pPr>
        <w:spacing w:after="100" w:before="0"/>
      </w:pPr>
      <w:r>
        <w:rPr>
          <w:sz w:val="24"/>
          <w:szCs w:val="24"/>
        </w:rPr>
        <w:t xml:space="preserve"/>
      </w:r>
    </w:p>
    <w:p>
      <w:pPr>
        <w:spacing w:after="160" w:before="0" w:line="360" w:lineRule="auto"/>
        <w:ind w:firstLine="720"/>
        <w:jc w:val="both"/>
      </w:pPr>
      <w:r>
        <w:rPr>
          <w:rFonts w:ascii="Arial" w:cs="Arial" w:eastAsia="Arial" w:hAnsi="Arial"/>
          <w:sz w:val="24"/>
          <w:szCs w:val="24"/>
        </w:rPr>
        <w:t xml:space="preserve">The preceding theses characterise the formal structure of consciousness. The present thesis makes a stronger claim: that this formal structure is not merely a property of certain physical systems, but a characterisation of what it means for anything to be at all. Consciousness, on this account, is not produced by being — it is being achieving self-presence.</w:t>
      </w:r>
    </w:p>
    <w:p>
      <w:pPr>
        <w:spacing w:after="160" w:before="0" w:line="360" w:lineRule="auto"/>
        <w:ind w:firstLine="720"/>
        <w:jc w:val="both"/>
      </w:pPr>
      <w:r>
        <w:rPr>
          <w:rFonts w:ascii="Arial" w:cs="Arial" w:eastAsia="Arial" w:hAnsi="Arial"/>
          <w:sz w:val="24"/>
          <w:szCs w:val="24"/>
        </w:rPr>
        <w:t xml:space="preserve">The argument is this: to be is to be actual — to have the character of being this rather than that, here rather than there, now rather than not-now. But actuality, considered carefully, is constitutively self-referential: to be actual is to be the case — and being-the-case is a self-relating character. The actual is what it is, as opposed to what it might have been or could be. This self-relating character of actuality is not a property of actual things; it is what actuality itself is.</w:t>
      </w:r>
    </w:p>
    <w:p>
      <w:pPr>
        <w:spacing w:after="160" w:before="0" w:line="360" w:lineRule="auto"/>
        <w:ind w:firstLine="720"/>
        <w:jc w:val="both"/>
      </w:pPr>
      <w:r>
        <w:rPr>
          <w:rFonts w:ascii="Arial" w:cs="Arial" w:eastAsia="Arial" w:hAnsi="Arial"/>
          <w:sz w:val="24"/>
          <w:szCs w:val="24"/>
        </w:rPr>
        <w:t xml:space="preserve">If this is correct, then the self-referential structure identified in the preceding theses is not an emergent property of complex physical systems but a formal feature of being itself, present at every level and expressed most fully — most explicitly — at the level of conscious self-reference. Consciousness is not an anomaly within being. It is being's own self-expression at the level of second-order self-reference.</w:t>
      </w:r>
    </w:p>
    <w:p>
      <w:pPr>
        <w:spacing w:after="160" w:before="0" w:line="360" w:lineRule="auto"/>
        <w:ind w:firstLine="720"/>
        <w:jc w:val="both"/>
      </w:pPr>
      <w:r>
        <w:rPr>
          <w:rFonts w:ascii="Arial" w:cs="Arial" w:eastAsia="Arial" w:hAnsi="Arial"/>
          <w:sz w:val="24"/>
          <w:szCs w:val="24"/>
        </w:rPr>
        <w:t xml:space="preserve">This thesis is explicitly speculative. It is not derivable from the preceding theses by strictly logical steps. It is a metaphysical extrapolation from them — one that has antecedents in the Idealist tradition (Hegel, 1807, 1812; Fichte, 1794), in Vedantic philosophy, and in certain readings of Aristotle's Metaphysics. The argument for taking the thesis seriously is not that it can be proved but that it provides the most parsimonious explanation of why the self-referential structure appears at the threshold of consciousness rather than elsewhere: because it is what being itself is at that level.</w:t>
      </w:r>
    </w:p>
    <w:p>
      <w:pPr>
        <w:spacing w:after="100" w:before="0"/>
      </w:pPr>
      <w:r>
        <w:rPr>
          <w:sz w:val="24"/>
          <w:szCs w:val="24"/>
        </w:rPr>
        <w:t xml:space="preserve"/>
      </w:r>
    </w:p>
    <w:p>
      <w:pPr>
        <w:pStyle w:val="Heading2"/>
        <w:spacing w:after="140" w:before="320"/>
      </w:pPr>
      <w:r>
        <w:rPr>
          <w:rFonts w:ascii="Arial" w:cs="Arial" w:eastAsia="Arial" w:hAnsi="Arial"/>
          <w:b/>
          <w:bCs/>
          <w:color w:val="222222"/>
          <w:sz w:val="24"/>
          <w:szCs w:val="24"/>
        </w:rPr>
        <w:t xml:space="preserve">Thesis V: The Identity of Freedom and Consciousness (FCIT)</w:t>
      </w:r>
    </w:p>
    <w:p>
      <w:pPr>
        <w:spacing w:after="140" w:before="80" w:line="300" w:lineRule="auto"/>
        <w:ind w:left="0"/>
        <w:jc w:val="both"/>
      </w:pPr>
      <w:r>
        <w:rPr>
          <w:rFonts w:ascii="Arial" w:cs="Arial" w:eastAsia="Arial" w:hAnsi="Arial"/>
          <w:b/>
          <w:bCs/>
          <w:sz w:val="22"/>
          <w:szCs w:val="22"/>
        </w:rPr>
        <w:t xml:space="preserve">Epistemic status: </w:t>
      </w:r>
      <w:r>
        <w:rPr>
          <w:rFonts w:ascii="Arial" w:cs="Arial" w:eastAsia="Arial" w:hAnsi="Arial"/>
          <w:i/>
          <w:iCs/>
          <w:color w:val="444444"/>
          <w:sz w:val="22"/>
          <w:szCs w:val="22"/>
        </w:rPr>
        <w:t xml:space="preserve">Philosophically argued. Convergent with Sartre's analysis of consciousness as freedom, derived more carefully from the preceding theses.</w:t>
      </w:r>
    </w:p>
    <w:p>
      <w:pPr>
        <w:spacing w:after="100" w:before="0"/>
      </w:pPr>
      <w:r>
        <w:rPr>
          <w:sz w:val="24"/>
          <w:szCs w:val="24"/>
        </w:rPr>
        <w:t xml:space="preserve"/>
      </w:r>
    </w:p>
    <w:p>
      <w:pPr>
        <w:spacing w:after="160" w:before="0" w:line="360" w:lineRule="auto"/>
        <w:ind w:firstLine="720"/>
        <w:jc w:val="both"/>
      </w:pPr>
      <w:r>
        <w:rPr>
          <w:rFonts w:ascii="Arial" w:cs="Arial" w:eastAsia="Arial" w:hAnsi="Arial"/>
          <w:sz w:val="24"/>
          <w:szCs w:val="24"/>
        </w:rPr>
        <w:t xml:space="preserve">The fifth thesis concerns the relation between consciousness and freedom. The claim is that they are not merely related — causally, constitutively, or structurally — but formally identical at the level of the act. Both are the self-referential fixed point described from different angles.</w:t>
      </w:r>
    </w:p>
    <w:p>
      <w:pPr>
        <w:spacing w:after="160" w:before="0" w:line="360" w:lineRule="auto"/>
        <w:ind w:firstLine="720"/>
        <w:jc w:val="both"/>
      </w:pPr>
      <w:r>
        <w:rPr>
          <w:rFonts w:ascii="Arial" w:cs="Arial" w:eastAsia="Arial" w:hAnsi="Arial"/>
          <w:sz w:val="24"/>
          <w:szCs w:val="24"/>
        </w:rPr>
        <w:t xml:space="preserve">Consciousness, as described in the preceding theses, is a self-referential process that constitutes its own ground. This structure is simultaneously the structure of self-determination: a process that constitutes its own ground is not determined by anything external to it. Its only law is its own self-reference. This is not freedom in the everyday sense of the ability to choose arbitrarily — it is freedom in the philosophical sense of being one's own ground, of not being wholly other-determined.</w:t>
      </w:r>
    </w:p>
    <w:p>
      <w:pPr>
        <w:spacing w:after="160" w:before="0" w:line="360" w:lineRule="auto"/>
        <w:ind w:firstLine="720"/>
        <w:jc w:val="both"/>
      </w:pPr>
      <w:r>
        <w:rPr>
          <w:rFonts w:ascii="Arial" w:cs="Arial" w:eastAsia="Arial" w:hAnsi="Arial"/>
          <w:sz w:val="24"/>
          <w:szCs w:val="24"/>
        </w:rPr>
        <w:t xml:space="preserve">The claim is not that conscious beings are always free in practice. It is that the formal structure of consciousness — the O(O) = O structure — is the same formal structure as ontological freedom: being that is the source of its own act. Sartre reached a similar conclusion through phenomenological analysis: consciousness is freedom because consciousness is the nothing that nihilates — it is constitutively not-what-it-is-not, and this negative character is the form of freedom (1943). The present argument reaches the same conclusion through a different route.</w:t>
      </w:r>
    </w:p>
    <w:p>
      <w:pPr>
        <w:spacing w:after="160" w:before="0" w:line="360" w:lineRule="auto"/>
        <w:ind w:firstLine="720"/>
        <w:jc w:val="both"/>
      </w:pPr>
      <w:r>
        <w:rPr>
          <w:rFonts w:ascii="Arial" w:cs="Arial" w:eastAsia="Arial" w:hAnsi="Arial"/>
          <w:sz w:val="24"/>
          <w:szCs w:val="24"/>
        </w:rPr>
        <w:t xml:space="preserve">This formal identity has practical consequences. If freedom and consciousness have the same formal structure, then conditions that suppress the expression of freedom in the world also suppress the depth of conscious self-presence. Systematic unfreedom is not merely a political problem. It is a reduction in the richness of being that the affected persons can achieve. This connects the metaphysical argument directly to political philosophy in a way that is not merely analogical.</w:t>
      </w:r>
    </w:p>
    <w:p>
      <w:pPr>
        <w:spacing w:after="100" w:before="0"/>
      </w:pPr>
      <w:r>
        <w:rPr>
          <w:sz w:val="24"/>
          <w:szCs w:val="24"/>
        </w:rPr>
        <w:t xml:space="preserve"/>
      </w:r>
    </w:p>
    <w:p>
      <w:pPr>
        <w:pStyle w:val="Heading2"/>
        <w:spacing w:after="140" w:before="320"/>
      </w:pPr>
      <w:r>
        <w:rPr>
          <w:rFonts w:ascii="Arial" w:cs="Arial" w:eastAsia="Arial" w:hAnsi="Arial"/>
          <w:b/>
          <w:bCs/>
          <w:color w:val="222222"/>
          <w:sz w:val="24"/>
          <w:szCs w:val="24"/>
        </w:rPr>
        <w:t xml:space="preserve">Thesis VI: Two Kinds of Freedom (TTF)</w:t>
      </w:r>
    </w:p>
    <w:p>
      <w:pPr>
        <w:spacing w:after="140" w:before="80" w:line="300" w:lineRule="auto"/>
        <w:ind w:left="0"/>
        <w:jc w:val="both"/>
      </w:pPr>
      <w:r>
        <w:rPr>
          <w:rFonts w:ascii="Arial" w:cs="Arial" w:eastAsia="Arial" w:hAnsi="Arial"/>
          <w:b/>
          <w:bCs/>
          <w:sz w:val="22"/>
          <w:szCs w:val="22"/>
        </w:rPr>
        <w:t xml:space="preserve">Epistemic status: </w:t>
      </w:r>
      <w:r>
        <w:rPr>
          <w:rFonts w:ascii="Arial" w:cs="Arial" w:eastAsia="Arial" w:hAnsi="Arial"/>
          <w:i/>
          <w:iCs/>
          <w:color w:val="444444"/>
          <w:sz w:val="22"/>
          <w:szCs w:val="22"/>
        </w:rPr>
        <w:t xml:space="preserve">Philosophically argued and formally precise. Resolves a genuine tension between metaphysical and political conceptions of freedom.</w:t>
      </w:r>
    </w:p>
    <w:p>
      <w:pPr>
        <w:spacing w:after="100" w:before="0"/>
      </w:pPr>
      <w:r>
        <w:rPr>
          <w:sz w:val="24"/>
          <w:szCs w:val="24"/>
        </w:rPr>
        <w:t xml:space="preserve"/>
      </w:r>
    </w:p>
    <w:p>
      <w:pPr>
        <w:spacing w:after="160" w:before="0" w:line="360" w:lineRule="auto"/>
        <w:ind w:firstLine="720"/>
        <w:jc w:val="both"/>
      </w:pPr>
      <w:r>
        <w:rPr>
          <w:rFonts w:ascii="Arial" w:cs="Arial" w:eastAsia="Arial" w:hAnsi="Arial"/>
          <w:sz w:val="24"/>
          <w:szCs w:val="24"/>
        </w:rPr>
        <w:t xml:space="preserve">The preceding thesis claims that freedom and consciousness are formally identical at the level of the act. But this seems to conflict with the obvious fact that freedom admits of degrees and can be suppressed. Conscious beings can be slaves, prisoners, coerced. In what sense are they free?</w:t>
      </w:r>
    </w:p>
    <w:p>
      <w:pPr>
        <w:spacing w:after="160" w:before="0" w:line="360" w:lineRule="auto"/>
        <w:ind w:firstLine="720"/>
        <w:jc w:val="both"/>
      </w:pPr>
      <w:r>
        <w:rPr>
          <w:rFonts w:ascii="Arial" w:cs="Arial" w:eastAsia="Arial" w:hAnsi="Arial"/>
          <w:sz w:val="24"/>
          <w:szCs w:val="24"/>
        </w:rPr>
        <w:t xml:space="preserve">The resolution is a distinction between two senses of freedom, designated here Freedom₁ and Freedom₂. Freedom₁ is the ontological structure — the self-referential act that constitutes consciousness as its own ground. It is inalienable in the sense that it cannot be removed without removing consciousness itself. As long as there is consciousness, there is this formal self-grounding. Freedom₂ is the degree to which this formal act is expressed in the world through action, speech, relation, and choice. Freedom₂ is variable and suppressible.</w:t>
      </w:r>
    </w:p>
    <w:p>
      <w:pPr>
        <w:spacing w:after="160" w:before="0" w:line="360" w:lineRule="auto"/>
        <w:ind w:firstLine="720"/>
        <w:jc w:val="both"/>
      </w:pPr>
      <w:r>
        <w:rPr>
          <w:rFonts w:ascii="Arial" w:cs="Arial" w:eastAsia="Arial" w:hAnsi="Arial"/>
          <w:sz w:val="24"/>
          <w:szCs w:val="24"/>
        </w:rPr>
        <w:t xml:space="preserve">This distinction maps onto, but is more precise than, Berlin's distinction between negative and positive liberty (1958). Negative liberty — freedom from external constraint — corresponds to a component of Freedom₂: the degree to which external conditions obstruct the expression of the self-originating act in the world. Positive liberty — freedom to self-determine — corresponds more closely to Freedom₂ in its fuller sense: the degree to which the formal act achieves actual expression.</w:t>
      </w:r>
    </w:p>
    <w:p>
      <w:pPr>
        <w:spacing w:after="160" w:before="0" w:line="360" w:lineRule="auto"/>
        <w:ind w:firstLine="720"/>
        <w:jc w:val="both"/>
      </w:pPr>
      <w:r>
        <w:rPr>
          <w:rFonts w:ascii="Arial" w:cs="Arial" w:eastAsia="Arial" w:hAnsi="Arial"/>
          <w:sz w:val="24"/>
          <w:szCs w:val="24"/>
        </w:rPr>
        <w:t xml:space="preserve">The distinction also clarifies the structure of political unfreedom. What political oppression suppresses is Freedom₂. In extreme cases — chronic coercion, totalitarian control, conditions of extreme material deprivation — the suppression of Freedom₂ can be severe enough that the formal capacity for Freedom₁ is functionally inaccessible, though not formally absent. The person remains formally free in the Omega-two sense but has no effective conditions for that freedom to express itself. This is the structure of alienation as Marx described it (1844): the formal capacity for self-determining activity turned entirely toward goals that are not one's own.</w:t>
      </w:r>
    </w:p>
    <w:p>
      <w:pPr>
        <w:spacing w:after="100" w:before="0"/>
      </w:pPr>
      <w:r>
        <w:rPr>
          <w:sz w:val="24"/>
          <w:szCs w:val="24"/>
        </w:rPr>
        <w:t xml:space="preserve"/>
      </w:r>
    </w:p>
    <w:p>
      <w:pPr>
        <w:pStyle w:val="Heading2"/>
        <w:spacing w:after="140" w:before="320"/>
      </w:pPr>
      <w:r>
        <w:rPr>
          <w:rFonts w:ascii="Arial" w:cs="Arial" w:eastAsia="Arial" w:hAnsi="Arial"/>
          <w:b/>
          <w:bCs/>
          <w:color w:val="222222"/>
          <w:sz w:val="24"/>
          <w:szCs w:val="24"/>
        </w:rPr>
        <w:t xml:space="preserve">Thesis VII: Suffering as Structural Tension (OST)</w:t>
      </w:r>
    </w:p>
    <w:p>
      <w:pPr>
        <w:spacing w:after="140" w:before="80" w:line="300" w:lineRule="auto"/>
        <w:ind w:left="0"/>
        <w:jc w:val="both"/>
      </w:pPr>
      <w:r>
        <w:rPr>
          <w:rFonts w:ascii="Arial" w:cs="Arial" w:eastAsia="Arial" w:hAnsi="Arial"/>
          <w:b/>
          <w:bCs/>
          <w:sz w:val="22"/>
          <w:szCs w:val="22"/>
        </w:rPr>
        <w:t xml:space="preserve">Epistemic status: </w:t>
      </w:r>
      <w:r>
        <w:rPr>
          <w:rFonts w:ascii="Arial" w:cs="Arial" w:eastAsia="Arial" w:hAnsi="Arial"/>
          <w:i/>
          <w:iCs/>
          <w:color w:val="444444"/>
          <w:sz w:val="22"/>
          <w:szCs w:val="22"/>
        </w:rPr>
        <w:t xml:space="preserve">Philosophically argued. Connects formal ontology to phenomenological and clinical observations. Speculative in the derivation of suffering from first principles, but the structural characterisation is independently plausible.</w:t>
      </w:r>
    </w:p>
    <w:p>
      <w:pPr>
        <w:spacing w:after="100" w:before="0"/>
      </w:pPr>
      <w:r>
        <w:rPr>
          <w:sz w:val="24"/>
          <w:szCs w:val="24"/>
        </w:rPr>
        <w:t xml:space="preserve"/>
      </w:r>
    </w:p>
    <w:p>
      <w:pPr>
        <w:spacing w:after="160" w:before="0" w:line="360" w:lineRule="auto"/>
        <w:ind w:firstLine="720"/>
        <w:jc w:val="both"/>
      </w:pPr>
      <w:r>
        <w:rPr>
          <w:rFonts w:ascii="Arial" w:cs="Arial" w:eastAsia="Arial" w:hAnsi="Arial"/>
          <w:sz w:val="24"/>
          <w:szCs w:val="24"/>
        </w:rPr>
        <w:t xml:space="preserve">The seventh thesis concerns suffering. The claim is not that suffering is causally explained by the ASO framework, but that the formal structure of the framework provides a principled characterisation of why suffering is constitutive of finite conscious existence rather than contingent on particular circumstances.</w:t>
      </w:r>
    </w:p>
    <w:p>
      <w:pPr>
        <w:spacing w:after="160" w:before="0" w:line="360" w:lineRule="auto"/>
        <w:ind w:firstLine="720"/>
        <w:jc w:val="both"/>
      </w:pPr>
      <w:r>
        <w:rPr>
          <w:rFonts w:ascii="Arial" w:cs="Arial" w:eastAsia="Arial" w:hAnsi="Arial"/>
          <w:sz w:val="24"/>
          <w:szCs w:val="24"/>
        </w:rPr>
        <w:t xml:space="preserve">The O(O) = O structure, as a formal self-referential act, requires three conditions for stable instantiation in a material world: a stable boundary between inside and outside; temporal continuity — the capacity to persist and re-instantiate itself over time; and internal coherence — the consistency of the self-referential structure. These are not optional features. They are constitutive requirements of any stable self-referential process.</w:t>
      </w:r>
    </w:p>
    <w:p>
      <w:pPr>
        <w:spacing w:after="160" w:before="0" w:line="360" w:lineRule="auto"/>
        <w:ind w:firstLine="720"/>
        <w:jc w:val="both"/>
      </w:pPr>
      <w:r>
        <w:rPr>
          <w:rFonts w:ascii="Arial" w:cs="Arial" w:eastAsia="Arial" w:hAnsi="Arial"/>
          <w:sz w:val="24"/>
          <w:szCs w:val="24"/>
        </w:rPr>
        <w:t xml:space="preserve">The material world, however, is constitutively characterised by features that stand in tension with these requirements: permeability (all material boundaries admit exchange with the environment, and this exchange is necessary for life); impermanence (all material configurations are subject to dissolution); and multiplicity (a field populated by many self-referential systems that interact, compete, and constrain each other).</w:t>
      </w:r>
    </w:p>
    <w:p>
      <w:pPr>
        <w:spacing w:after="160" w:before="0" w:line="360" w:lineRule="auto"/>
        <w:ind w:firstLine="720"/>
        <w:jc w:val="both"/>
      </w:pPr>
      <w:r>
        <w:rPr>
          <w:rFonts w:ascii="Arial" w:cs="Arial" w:eastAsia="Arial" w:hAnsi="Arial"/>
          <w:sz w:val="24"/>
          <w:szCs w:val="24"/>
        </w:rPr>
        <w:t xml:space="preserve">Suffering, on this account, is the formal tension between the self-referential structure's constitutive requirements and the material conditions of its instantiation. This tension is not accidental — it is the necessary consequence of a formally self-grounding structure being instantiated in conditions that are, by their nature, not self-grounding. The structure requires stability; the world provides impermanence. The structure requires boundary; the world provides permeability. The structure requires coherence; the world provides multiplicity.</w:t>
      </w:r>
    </w:p>
    <w:p>
      <w:pPr>
        <w:spacing w:after="160" w:before="0" w:line="360" w:lineRule="auto"/>
        <w:ind w:firstLine="720"/>
        <w:jc w:val="both"/>
      </w:pPr>
      <w:r>
        <w:rPr>
          <w:rFonts w:ascii="Arial" w:cs="Arial" w:eastAsia="Arial" w:hAnsi="Arial"/>
          <w:sz w:val="24"/>
          <w:szCs w:val="24"/>
        </w:rPr>
        <w:t xml:space="preserve">This characterisation does not explain the specific character of any particular form of suffering. It does explain why suffering is structurally unavoidable for any finite conscious being — not because the world is malevolent or consciousness poorly designed, but because the formal requirements of self-reference and the material conditions of finite existence are constitutively in tension.</w:t>
      </w:r>
    </w:p>
    <w:p>
      <w:pPr>
        <w:spacing w:after="160" w:before="0" w:line="360" w:lineRule="auto"/>
        <w:ind w:firstLine="720"/>
        <w:jc w:val="both"/>
      </w:pPr>
      <w:r>
        <w:rPr>
          <w:rFonts w:ascii="Arial" w:cs="Arial" w:eastAsia="Arial" w:hAnsi="Arial"/>
          <w:sz w:val="24"/>
          <w:szCs w:val="24"/>
        </w:rPr>
        <w:t xml:space="preserve">A further distinction is warranted here. First-order suffering is the tension itself — the direct encounter with permeability, impermanence, and multiplicity as threatening to the constitutive requirements of the self-referential structure. Second-order suffering arises when the self-referential structure responds to this tension by taking its own particular instantiation as under existential threat — when the response to the tension becomes an identification of the self with the threatened form rather than with the self-originating act that the form expresses. The Buddhist distinction between pain and suffering (dukkha), and Frankl's clinical observation that the relationship to suffering can be transformed without the suffering being eliminated (1946), are consistent with this characterisation.</w:t>
      </w:r>
    </w:p>
    <w:p>
      <w:pPr>
        <w:spacing w:after="100" w:before="0"/>
      </w:pPr>
      <w:r>
        <w:rPr>
          <w:sz w:val="24"/>
          <w:szCs w:val="24"/>
        </w:rPr>
        <w:t xml:space="preserve"/>
      </w:r>
    </w:p>
    <w:p>
      <w:pPr>
        <w:pStyle w:val="Heading2"/>
        <w:spacing w:after="140" w:before="320"/>
      </w:pPr>
      <w:r>
        <w:rPr>
          <w:rFonts w:ascii="Arial" w:cs="Arial" w:eastAsia="Arial" w:hAnsi="Arial"/>
          <w:b/>
          <w:bCs/>
          <w:color w:val="222222"/>
          <w:sz w:val="24"/>
          <w:szCs w:val="24"/>
        </w:rPr>
        <w:t xml:space="preserve">Thesis VIII: Political Justice as Ontological Alignment (PT)</w:t>
      </w:r>
    </w:p>
    <w:p>
      <w:pPr>
        <w:spacing w:after="140" w:before="80" w:line="300" w:lineRule="auto"/>
        <w:ind w:left="0"/>
        <w:jc w:val="both"/>
      </w:pPr>
      <w:r>
        <w:rPr>
          <w:rFonts w:ascii="Arial" w:cs="Arial" w:eastAsia="Arial" w:hAnsi="Arial"/>
          <w:b/>
          <w:bCs/>
          <w:sz w:val="22"/>
          <w:szCs w:val="22"/>
        </w:rPr>
        <w:t xml:space="preserve">Epistemic status: </w:t>
      </w:r>
      <w:r>
        <w:rPr>
          <w:rFonts w:ascii="Arial" w:cs="Arial" w:eastAsia="Arial" w:hAnsi="Arial"/>
          <w:i/>
          <w:iCs/>
          <w:color w:val="444444"/>
          <w:sz w:val="22"/>
          <w:szCs w:val="22"/>
        </w:rPr>
        <w:t xml:space="preserve">Philosophically argued. The move from ontological structure to political obligation requires additional argumentation beyond what is provided here. This thesis is presented as a research direction rather than a completed argument.</w:t>
      </w:r>
    </w:p>
    <w:p>
      <w:pPr>
        <w:spacing w:after="100" w:before="0"/>
      </w:pPr>
      <w:r>
        <w:rPr>
          <w:sz w:val="24"/>
          <w:szCs w:val="24"/>
        </w:rPr>
        <w:t xml:space="preserve"/>
      </w:r>
    </w:p>
    <w:p>
      <w:pPr>
        <w:spacing w:after="160" w:before="0" w:line="360" w:lineRule="auto"/>
        <w:ind w:firstLine="720"/>
        <w:jc w:val="both"/>
      </w:pPr>
      <w:r>
        <w:rPr>
          <w:rFonts w:ascii="Arial" w:cs="Arial" w:eastAsia="Arial" w:hAnsi="Arial"/>
          <w:sz w:val="24"/>
          <w:szCs w:val="24"/>
        </w:rPr>
        <w:t xml:space="preserve">The final thesis moves from ontology to political philosophy. If consciousness is formally constituted by the self-referential act, and if this act is the same structure as ontological freedom, then political structures can be evaluated not merely on grounds of utility, rational agreement, or natural rights, but on grounds of their formal relation to the ontological nature of the beings they govern.</w:t>
      </w:r>
    </w:p>
    <w:p>
      <w:pPr>
        <w:spacing w:after="160" w:before="0" w:line="360" w:lineRule="auto"/>
        <w:ind w:firstLine="720"/>
        <w:jc w:val="both"/>
      </w:pPr>
      <w:r>
        <w:rPr>
          <w:rFonts w:ascii="Arial" w:cs="Arial" w:eastAsia="Arial" w:hAnsi="Arial"/>
          <w:sz w:val="24"/>
          <w:szCs w:val="24"/>
        </w:rPr>
        <w:t xml:space="preserve">The claim is this: a political structure that systematically suppresses Freedom₂ — the expression of the self-referential act in the world — does not merely harm the persons affected. It stands in formal opposition to what those persons are at the ontological level. The harm is not merely practical or preference-based. It is constitutive: it prevents the full actualisation of what these persons are as self-originating beings.</w:t>
      </w:r>
    </w:p>
    <w:p>
      <w:pPr>
        <w:spacing w:after="160" w:before="0" w:line="360" w:lineRule="auto"/>
        <w:ind w:firstLine="720"/>
        <w:jc w:val="both"/>
      </w:pPr>
      <w:r>
        <w:rPr>
          <w:rFonts w:ascii="Arial" w:cs="Arial" w:eastAsia="Arial" w:hAnsi="Arial"/>
          <w:sz w:val="24"/>
          <w:szCs w:val="24"/>
        </w:rPr>
        <w:t xml:space="preserve">This argument does not replace the standard arguments for political freedom — from utility, rational choice, or natural rights. It provides a different and complementary foundation: an account of why political freedom matters that is grounded in the formal structure of personhood rather than in the preferences or agreements of persons. Persons matter not merely because they have preferences, or because they are rational, or because they have been granted rights, but because they are self-originating — and political structures that systematically suppress this origination are, in a precise sense, working against the nature of the beings they organise.</w:t>
      </w:r>
    </w:p>
    <w:p>
      <w:pPr>
        <w:spacing w:after="160" w:before="0" w:line="360" w:lineRule="auto"/>
        <w:ind w:firstLine="720"/>
        <w:jc w:val="both"/>
      </w:pPr>
      <w:r>
        <w:rPr>
          <w:rFonts w:ascii="Arial" w:cs="Arial" w:eastAsia="Arial" w:hAnsi="Arial"/>
          <w:sz w:val="24"/>
          <w:szCs w:val="24"/>
        </w:rPr>
        <w:t xml:space="preserve">The thesis implies four conditions that just political structures must satisfy: the conditions for genuine epistemic self-determination (the capacity to form one's own political orientation rather than having it colonised from outside); material security sufficient for the self-referential structure to function above the level of pure survival; recognition of each person as a self-originating being rather than as an instrument of collective ends; and genuine participation in the collective determination of the conditions of life. These conditions are not derived with full rigour here — they require additional argumentation that connects the formal ontological claims to the specific features of political institutions. That is work for a subsequent paper.</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pStyle w:val="Heading1"/>
        <w:spacing w:after="200" w:before="480"/>
      </w:pPr>
      <w:r>
        <w:rPr>
          <w:rFonts w:ascii="Arial" w:cs="Arial" w:eastAsia="Arial" w:hAnsi="Arial"/>
          <w:b/>
          <w:bCs/>
          <w:color w:val="111111"/>
          <w:sz w:val="30"/>
          <w:szCs w:val="30"/>
        </w:rPr>
        <w:t xml:space="preserve">V. Convergent Evidence from Independent Disciplines</w:t>
      </w:r>
    </w:p>
    <w:p>
      <w:pPr>
        <w:spacing w:after="160" w:before="0" w:line="360" w:lineRule="auto"/>
        <w:ind w:firstLine="720"/>
        <w:jc w:val="both"/>
      </w:pPr>
      <w:r>
        <w:rPr>
          <w:rFonts w:ascii="Arial" w:cs="Arial" w:eastAsia="Arial" w:hAnsi="Arial"/>
          <w:sz w:val="24"/>
          <w:szCs w:val="24"/>
        </w:rPr>
        <w:t xml:space="preserve">The theses presented above are philosophical arguments, not empirical claims. But philosophical arguments about the structure of consciousness, life, and freedom are not insulated from empirical inquiry: they generate predictions about what the empirical record should look like, and consistency with that record is relevant to their plausibility. This section identifies several areas where the ASO framework is consistent with, and in some cases predicted by, independent research.</w:t>
      </w:r>
    </w:p>
    <w:p>
      <w:pPr>
        <w:spacing w:after="160" w:before="0" w:line="360" w:lineRule="auto"/>
        <w:ind w:firstLine="720"/>
        <w:jc w:val="both"/>
      </w:pPr>
      <w:r>
        <w:rPr>
          <w:rFonts w:ascii="Arial" w:cs="Arial" w:eastAsia="Arial" w:hAnsi="Arial"/>
          <w:sz w:val="24"/>
          <w:szCs w:val="24"/>
        </w:rPr>
        <w:t xml:space="preserve">In neuroscience, the most consistent finding across diverse approaches to consciousness is that recurrent processing — neural activity that loops back on itself rather than propagating forward — is necessary for conscious experience (Lamme, 2006). This is exactly what the Omega-two criterion predicts: consciousness requires self-referential processing, of which neural recurrence is the physical instantiation. Anaesthetic agents that disrupt recurrent processing eliminate consciousness while preserving sophisticated feedforward processing — consistent with the RTT's prediction that the relevant threshold is structural rather than computational. The perturbational complexity index (Casali et al., 2013), which measures the brain's capacity to generate complex self-referential responses to perturbation, is currently the most reliable empirical measure of conscious presence across clinical states — consistent with the prediction that Omega-two depth is the relevant criterion.</w:t>
      </w:r>
    </w:p>
    <w:p>
      <w:pPr>
        <w:spacing w:after="160" w:before="0" w:line="360" w:lineRule="auto"/>
        <w:ind w:firstLine="720"/>
        <w:jc w:val="both"/>
      </w:pPr>
      <w:r>
        <w:rPr>
          <w:rFonts w:ascii="Arial" w:cs="Arial" w:eastAsia="Arial" w:hAnsi="Arial"/>
          <w:sz w:val="24"/>
          <w:szCs w:val="24"/>
        </w:rPr>
        <w:t xml:space="preserve">In developmental psychology, Stern's research on infant vitality affects (1985) and Trevarthen's intersubjectivity work (1979) show that the earliest forms of conscious engagement are orientational and dynamic — directional contours of experience — before they are object-directed or linguistic. This is consistent with the OCT's claim that orientation is constitutive of consciousness rather than a subsequent feature of it.</w:t>
      </w:r>
    </w:p>
    <w:p>
      <w:pPr>
        <w:spacing w:after="160" w:before="0" w:line="360" w:lineRule="auto"/>
        <w:ind w:firstLine="720"/>
        <w:jc w:val="both"/>
      </w:pPr>
      <w:r>
        <w:rPr>
          <w:rFonts w:ascii="Arial" w:cs="Arial" w:eastAsia="Arial" w:hAnsi="Arial"/>
          <w:sz w:val="24"/>
          <w:szCs w:val="24"/>
        </w:rPr>
        <w:t xml:space="preserve">In biology, Maturana and Varela's autopoiesis framework (1972, 1980) independently arrived at the conclusion that life is formally characterised by self-producing, self-maintaining, boundary-constituting organisation — exactly the structure the present framework identifies at the Omega-zero and Omega-one levels. Kauffman's subsequent work on autonomous agents (2019) explicitly identifies the emergence of agency — acting on one's own behalf — as a formal transition that cannot be captured by physics alone, consistent with Thesis VII's claim that the transition from matter to life is an ontological threshold.</w:t>
      </w:r>
    </w:p>
    <w:p>
      <w:pPr>
        <w:spacing w:after="160" w:before="0" w:line="360" w:lineRule="auto"/>
        <w:ind w:firstLine="720"/>
        <w:jc w:val="both"/>
      </w:pPr>
      <w:r>
        <w:rPr>
          <w:rFonts w:ascii="Arial" w:cs="Arial" w:eastAsia="Arial" w:hAnsi="Arial"/>
          <w:sz w:val="24"/>
          <w:szCs w:val="24"/>
        </w:rPr>
        <w:t xml:space="preserve">In psychology, Self-Determination Theory (Deci and Ryan, 1985, 2000) provides extensive evidence that autonomy — the experience of one's actions as originating from oneself — is the most fundamental psychological need, whose frustration produces not merely unhappiness but specific reductions in vitality, coherence, and engagement consistent with the FCIT's prediction that freedom suppression reduces the depth of self-knowing consciousness. Frankl's clinical observations (1946, 1959) and post-traumatic growth research (Tedeschi and Calhoun, 1996, 2004) are consistent with the distinction between first-order and second-order suffering drawn in Thesis VII.</w:t>
      </w:r>
    </w:p>
    <w:p>
      <w:pPr>
        <w:spacing w:after="160" w:before="0" w:line="360" w:lineRule="auto"/>
        <w:ind w:firstLine="720"/>
        <w:jc w:val="both"/>
      </w:pPr>
      <w:r>
        <w:rPr>
          <w:rFonts w:ascii="Arial" w:cs="Arial" w:eastAsia="Arial" w:hAnsi="Arial"/>
          <w:sz w:val="24"/>
          <w:szCs w:val="24"/>
        </w:rPr>
        <w:t xml:space="preserve">These consistencies are significant but not conclusive. The framework is consistent with the evidence; it does not uniquely predict it. Alternative frameworks also explain most of these findings. The convergences are best understood as plausibility support: they show that the philosophical framework is not empirically idle and that it makes contact with real phenomena in ways that are not obviously wrong.</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pStyle w:val="Heading1"/>
        <w:spacing w:after="200" w:before="480"/>
      </w:pPr>
      <w:r>
        <w:rPr>
          <w:rFonts w:ascii="Arial" w:cs="Arial" w:eastAsia="Arial" w:hAnsi="Arial"/>
          <w:b/>
          <w:bCs/>
          <w:color w:val="111111"/>
          <w:sz w:val="30"/>
          <w:szCs w:val="30"/>
        </w:rPr>
        <w:t xml:space="preserve">VI. Principal Objections</w:t>
      </w:r>
    </w:p>
    <w:p>
      <w:pPr>
        <w:pStyle w:val="Heading2"/>
        <w:spacing w:after="140" w:before="320"/>
      </w:pPr>
      <w:r>
        <w:rPr>
          <w:rFonts w:ascii="Arial" w:cs="Arial" w:eastAsia="Arial" w:hAnsi="Arial"/>
          <w:b/>
          <w:bCs/>
          <w:color w:val="222222"/>
          <w:sz w:val="24"/>
          <w:szCs w:val="24"/>
        </w:rPr>
        <w:t xml:space="preserve">6.1 The Over-Unification Objection</w:t>
      </w:r>
    </w:p>
    <w:p>
      <w:pPr>
        <w:spacing w:after="160" w:before="0" w:line="360" w:lineRule="auto"/>
        <w:ind w:firstLine="720"/>
        <w:jc w:val="both"/>
      </w:pPr>
      <w:r>
        <w:rPr>
          <w:rFonts w:ascii="Arial" w:cs="Arial" w:eastAsia="Arial" w:hAnsi="Arial"/>
          <w:sz w:val="24"/>
          <w:szCs w:val="24"/>
        </w:rPr>
        <w:t xml:space="preserve">The most serious objection to the framework is that it over-unifies: the fixed-point structure O(O) = O is applied to phenomena that are sufficiently different that the application amounts to equivocation. Consciousness, life, freedom, and suffering are very different things. Describing them all as instantiations of the same structure does not explain any of them — it merely labels them with a shared vocabulary.</w:t>
      </w:r>
    </w:p>
    <w:p>
      <w:pPr>
        <w:spacing w:after="160" w:before="0" w:line="360" w:lineRule="auto"/>
        <w:ind w:firstLine="720"/>
        <w:jc w:val="both"/>
      </w:pPr>
      <w:r>
        <w:rPr>
          <w:rFonts w:ascii="Arial" w:cs="Arial" w:eastAsia="Arial" w:hAnsi="Arial"/>
          <w:sz w:val="24"/>
          <w:szCs w:val="24"/>
        </w:rPr>
        <w:t xml:space="preserve">The reply is that the framework does not claim to explain any of these phenomena by assigning them to the same formal category. It claims to identify a common structural feature — self-referential orientation — that is formally instantiated at different levels of complexity in each case. The formal structure is the same; the instantiation is different. The Omega-level framework is the mediating principle: what life and consciousness have in common is the formal structure, not the particular realisation. What distinguishes them is the depth of self-referential complexity at which the structure is instantiated.</w:t>
      </w:r>
    </w:p>
    <w:p>
      <w:pPr>
        <w:spacing w:after="160" w:before="0" w:line="360" w:lineRule="auto"/>
        <w:ind w:firstLine="720"/>
        <w:jc w:val="both"/>
      </w:pPr>
      <w:r>
        <w:rPr>
          <w:rFonts w:ascii="Arial" w:cs="Arial" w:eastAsia="Arial" w:hAnsi="Arial"/>
          <w:sz w:val="24"/>
          <w:szCs w:val="24"/>
        </w:rPr>
        <w:t xml:space="preserve">The objection would succeed if the formal structure were doing no explanatory work — if the descriptions at each level were the same regardless of whether the common structure was invoked. But the common structure does do explanatory work: it provides the basis for the principled criterion in Thesis II, the structural account of unity in Thesis III, the identity thesis in Thesis V, and the structural account of suffering in Thesis VII. These are not arbitrary labels. They are substantive philosophical claims with independent testable implications.</w:t>
      </w:r>
    </w:p>
    <w:p>
      <w:pPr>
        <w:pStyle w:val="Heading2"/>
        <w:spacing w:after="140" w:before="320"/>
      </w:pPr>
      <w:r>
        <w:rPr>
          <w:rFonts w:ascii="Arial" w:cs="Arial" w:eastAsia="Arial" w:hAnsi="Arial"/>
          <w:b/>
          <w:bCs/>
          <w:color w:val="222222"/>
          <w:sz w:val="24"/>
          <w:szCs w:val="24"/>
        </w:rPr>
        <w:t xml:space="preserve">6.2 The Hard Determinist Objection</w:t>
      </w:r>
    </w:p>
    <w:p>
      <w:pPr>
        <w:spacing w:after="160" w:before="0" w:line="360" w:lineRule="auto"/>
        <w:ind w:firstLine="720"/>
        <w:jc w:val="both"/>
      </w:pPr>
      <w:r>
        <w:rPr>
          <w:rFonts w:ascii="Arial" w:cs="Arial" w:eastAsia="Arial" w:hAnsi="Arial"/>
          <w:sz w:val="24"/>
          <w:szCs w:val="24"/>
        </w:rPr>
        <w:t xml:space="preserve">If all physical events are causally determined by prior physical events, the self-originating act is an illusion. There is no O(O) = O in the physical world — there are only causal chains. The present framework imports a pre-scientific notion of self-causation that has been superseded by modern physics.</w:t>
      </w:r>
    </w:p>
    <w:p>
      <w:pPr>
        <w:spacing w:after="160" w:before="0" w:line="360" w:lineRule="auto"/>
        <w:ind w:firstLine="720"/>
        <w:jc w:val="both"/>
      </w:pPr>
      <w:r>
        <w:rPr>
          <w:rFonts w:ascii="Arial" w:cs="Arial" w:eastAsia="Arial" w:hAnsi="Arial"/>
          <w:sz w:val="24"/>
          <w:szCs w:val="24"/>
        </w:rPr>
        <w:t xml:space="preserve">The reply distinguishes two levels of description. At the level of physical causal history, every neural event has physical antecedents. This is not contested. The claim of the framework is not that the self-referential act escapes physical causation but that the self-referential structure — the formal pattern of O(O) = O — is not fully captured by any description in terms of causal antecedents. The formal pattern is real: there are systems whose current state is constitutively determined by their own self-referential structure rather than (only) by their causal history. This is not pre-scientific. It is a claim about the formal properties of certain kinds of systems. The formal properties of a system are real even if the system is implemented in physical substrate with a causal history.</w:t>
      </w:r>
    </w:p>
    <w:p>
      <w:pPr>
        <w:pStyle w:val="Heading2"/>
        <w:spacing w:after="140" w:before="320"/>
      </w:pPr>
      <w:r>
        <w:rPr>
          <w:rFonts w:ascii="Arial" w:cs="Arial" w:eastAsia="Arial" w:hAnsi="Arial"/>
          <w:b/>
          <w:bCs/>
          <w:color w:val="222222"/>
          <w:sz w:val="24"/>
          <w:szCs w:val="24"/>
        </w:rPr>
        <w:t xml:space="preserve">6.3 The Scope of the Mathematical Analogy</w:t>
      </w:r>
    </w:p>
    <w:p>
      <w:pPr>
        <w:spacing w:after="160" w:before="0" w:line="360" w:lineRule="auto"/>
        <w:ind w:firstLine="720"/>
        <w:jc w:val="both"/>
      </w:pPr>
      <w:r>
        <w:rPr>
          <w:rFonts w:ascii="Arial" w:cs="Arial" w:eastAsia="Arial" w:hAnsi="Arial"/>
          <w:sz w:val="24"/>
          <w:szCs w:val="24"/>
        </w:rPr>
        <w:t xml:space="preserve">The framework invokes Banach's Fixed-Point Theorem in support of the Unity Thesis. But the conditions of Banach's theorem — a complete metric space, a contraction mapping — have not been formally demonstrated for the self-referential processes in question. The mathematical invocation is therefore potentially misleading.</w:t>
      </w:r>
    </w:p>
    <w:p>
      <w:pPr>
        <w:spacing w:after="160" w:before="0" w:line="360" w:lineRule="auto"/>
        <w:ind w:firstLine="720"/>
        <w:jc w:val="both"/>
      </w:pPr>
      <w:r>
        <w:rPr>
          <w:rFonts w:ascii="Arial" w:cs="Arial" w:eastAsia="Arial" w:hAnsi="Arial"/>
          <w:sz w:val="24"/>
          <w:szCs w:val="24"/>
        </w:rPr>
        <w:t xml:space="preserve">This objection is correct and important. The present article explicitly acknowledges that the use of fixed-point vocabulary is structural and analogical, not a formal mathematical proof. The core argument for experiential unity does not depend on the mathematics — it depends on the philosophical claim that self-referential systems are constitutively singular. The mathematical analogy provides precision and a vocabulary for stating the claim. Whether the analogy can be developed into a rigorous formal result is a question for future work. The present claim is more modest: that fixed-point theory provides the best available vocabulary for describing the formal properties of self-referential processes, and that the analogy to experiential unity is substantive rather than merely rhetorical.</w:t>
      </w:r>
    </w:p>
    <w:p>
      <w:pPr>
        <w:pStyle w:val="Heading2"/>
        <w:spacing w:after="140" w:before="320"/>
      </w:pPr>
      <w:r>
        <w:rPr>
          <w:rFonts w:ascii="Arial" w:cs="Arial" w:eastAsia="Arial" w:hAnsi="Arial"/>
          <w:b/>
          <w:bCs/>
          <w:color w:val="222222"/>
          <w:sz w:val="24"/>
          <w:szCs w:val="24"/>
        </w:rPr>
        <w:t xml:space="preserve">6.4 The Being After Death Question</w:t>
      </w:r>
    </w:p>
    <w:p>
      <w:pPr>
        <w:spacing w:after="160" w:before="0" w:line="360" w:lineRule="auto"/>
        <w:ind w:firstLine="720"/>
        <w:jc w:val="both"/>
      </w:pPr>
      <w:r>
        <w:rPr>
          <w:rFonts w:ascii="Arial" w:cs="Arial" w:eastAsia="Arial" w:hAnsi="Arial"/>
          <w:sz w:val="24"/>
          <w:szCs w:val="24"/>
        </w:rPr>
        <w:t xml:space="preserve">The framework implies that the self-originating act is not formally identical to its material instantiation. Some readers have taken this to suggest that consciousness persists after biological death. The present article does not make this claim and regards it as beyond the scope of philosophical argument from the framework.</w:t>
      </w:r>
    </w:p>
    <w:p>
      <w:pPr>
        <w:spacing w:after="160" w:before="0" w:line="360" w:lineRule="auto"/>
        <w:ind w:firstLine="720"/>
        <w:jc w:val="both"/>
      </w:pPr>
      <w:r>
        <w:rPr>
          <w:rFonts w:ascii="Arial" w:cs="Arial" w:eastAsia="Arial" w:hAnsi="Arial"/>
          <w:sz w:val="24"/>
          <w:szCs w:val="24"/>
        </w:rPr>
        <w:t xml:space="preserve">What can be said is this: biological death is the dissolution of the material fixed-point instantiation. Whether the formal act persists, takes a new form, or ceases entirely when its material instantiation dissolves is not determinable from within the present framework. The framework identifies the formal structure of the question — it is a question about whether ASO is substrate-independent in a strong sense — but does not answer it. Any positive claim about consciousness after death would require evidence that is not currently available and arguments that go beyond what the present framework supports.</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pStyle w:val="Heading1"/>
        <w:spacing w:after="200" w:before="480"/>
      </w:pPr>
      <w:r>
        <w:rPr>
          <w:rFonts w:ascii="Arial" w:cs="Arial" w:eastAsia="Arial" w:hAnsi="Arial"/>
          <w:b/>
          <w:bCs/>
          <w:color w:val="111111"/>
          <w:sz w:val="30"/>
          <w:szCs w:val="30"/>
        </w:rPr>
        <w:t xml:space="preserve">VII. The Structural Limit of the Framework</w:t>
      </w:r>
    </w:p>
    <w:p>
      <w:pPr>
        <w:spacing w:after="160" w:before="0" w:line="360" w:lineRule="auto"/>
        <w:ind w:firstLine="720"/>
        <w:jc w:val="both"/>
      </w:pPr>
      <w:r>
        <w:rPr>
          <w:rFonts w:ascii="Arial" w:cs="Arial" w:eastAsia="Arial" w:hAnsi="Arial"/>
          <w:sz w:val="24"/>
          <w:szCs w:val="24"/>
        </w:rPr>
        <w:t xml:space="preserve">Every systematic philosophical framework has a structural limit — a point at which the framework's methods do not reach. Identifying this limit precisely is itself a philosophical contribution, because it shows what the framework is and is not, and opens the question of what lies beyond it.</w:t>
      </w:r>
    </w:p>
    <w:p>
      <w:pPr>
        <w:spacing w:after="160" w:before="0" w:line="360" w:lineRule="auto"/>
        <w:ind w:firstLine="720"/>
        <w:jc w:val="both"/>
      </w:pPr>
      <w:r>
        <w:rPr>
          <w:rFonts w:ascii="Arial" w:cs="Arial" w:eastAsia="Arial" w:hAnsi="Arial"/>
          <w:sz w:val="24"/>
          <w:szCs w:val="24"/>
        </w:rPr>
        <w:t xml:space="preserve">The present framework can characterise the formal structure of consciousness, life, and freedom as expressions of the self-referential act O(O) = O. It can derive the threshold conditions, the unity structure, the formal identity of freedom and consciousness, and the structural character of suffering. What it cannot do is characterise the act itself — what self-origination is prior to any expression, in itself, before the loop first closes.</w:t>
      </w:r>
    </w:p>
    <w:p>
      <w:pPr>
        <w:spacing w:after="160" w:before="0" w:line="360" w:lineRule="auto"/>
        <w:ind w:firstLine="720"/>
        <w:jc w:val="both"/>
      </w:pPr>
      <w:r>
        <w:rPr>
          <w:rFonts w:ascii="Arial" w:cs="Arial" w:eastAsia="Arial" w:hAnsi="Arial"/>
          <w:sz w:val="24"/>
          <w:szCs w:val="24"/>
        </w:rPr>
        <w:t xml:space="preserve">This is not a contingent limitation that further work might overcome. It is a formal consequence of what the framework is. The framework describes the act as it appears in its expressions. Any attempt to describe the act prior to its expressions would require the act to express itself — to produce a description — which means the description is already an expression. There is no description of the pre-expressive act that is not itself an expression.</w:t>
      </w:r>
    </w:p>
    <w:p>
      <w:pPr>
        <w:spacing w:after="160" w:before="0" w:line="360" w:lineRule="auto"/>
        <w:ind w:firstLine="720"/>
        <w:jc w:val="both"/>
      </w:pPr>
      <w:r>
        <w:rPr>
          <w:rFonts w:ascii="Arial" w:cs="Arial" w:eastAsia="Arial" w:hAnsi="Arial"/>
          <w:sz w:val="24"/>
          <w:szCs w:val="24"/>
        </w:rPr>
        <w:t xml:space="preserve">This is not a unique failure of the present framework. It is the structural limit of formal thought as such. Wittgenstein identified it in the Tractatus: whereof one cannot speak, thereof one must be silent (1921). Nagarjuna's emptiness of emptiness reaches the same point from within Buddhist logic (c. 150 CE). The apophatic tradition in Christian mysticism — Pseudo-Dionysius, Meister Eckhart — identifies the divine ground as prior to all description, including the description of priority. The structure is identical: the ground from which formal thought proceeds cannot be captured within formal thought without a regress.</w:t>
      </w:r>
    </w:p>
    <w:p>
      <w:pPr>
        <w:spacing w:after="160" w:before="0" w:line="360" w:lineRule="auto"/>
        <w:ind w:firstLine="720"/>
        <w:jc w:val="both"/>
      </w:pPr>
      <w:r>
        <w:rPr>
          <w:rFonts w:ascii="Arial" w:cs="Arial" w:eastAsia="Arial" w:hAnsi="Arial"/>
          <w:sz w:val="24"/>
          <w:szCs w:val="24"/>
        </w:rPr>
        <w:t xml:space="preserve">What is distinctive about the present framework is that it locates this limit precisely. The limit is not merely 'there are things we cannot say.' The limit is the specific point at which the self-referential structure that constitutes the framework's subject matter — consciousness, life, freedom — cannot itself be made an object of that structure without already presupposing it. The silence at the centre of the framework is not empty. It is the act that the framework has been formally describing from the outside.</w:t>
      </w:r>
    </w:p>
    <w:p>
      <w:pPr>
        <w:spacing w:after="160" w:before="0" w:line="360" w:lineRule="auto"/>
        <w:ind w:firstLine="720"/>
        <w:jc w:val="both"/>
      </w:pPr>
      <w:r>
        <w:rPr>
          <w:rFonts w:ascii="Arial" w:cs="Arial" w:eastAsia="Arial" w:hAnsi="Arial"/>
          <w:sz w:val="24"/>
          <w:szCs w:val="24"/>
        </w:rPr>
        <w:t xml:space="preserve">Whether this silence can be entered — and how — is a question the framework cannot answer. Every major contemplative tradition has addressed it, with convergent but imperfectly consistent reports. Comparing those reports against the formal structure of the present framework is a productive direction for further inquiry. The comparison would not verify or refute the philosophical arguments. It would illuminate what the philosophical arguments have been pointing toward.</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pStyle w:val="Heading1"/>
        <w:spacing w:after="200" w:before="480"/>
      </w:pPr>
      <w:r>
        <w:rPr>
          <w:rFonts w:ascii="Arial" w:cs="Arial" w:eastAsia="Arial" w:hAnsi="Arial"/>
          <w:b/>
          <w:bCs/>
          <w:color w:val="111111"/>
          <w:sz w:val="30"/>
          <w:szCs w:val="30"/>
        </w:rPr>
        <w:t xml:space="preserve">VIII. Conclusion</w:t>
      </w:r>
    </w:p>
    <w:p>
      <w:pPr>
        <w:spacing w:after="160" w:before="0" w:line="360" w:lineRule="auto"/>
        <w:ind w:firstLine="720"/>
        <w:jc w:val="both"/>
      </w:pPr>
      <w:r>
        <w:rPr>
          <w:rFonts w:ascii="Arial" w:cs="Arial" w:eastAsia="Arial" w:hAnsi="Arial"/>
          <w:sz w:val="24"/>
          <w:szCs w:val="24"/>
        </w:rPr>
        <w:t xml:space="preserve">This article has presented a systematic philosophical framework built around a single central claim: that consciousness, life, and freedom share a common formal structure — the self-referential act O(O) = O — and that this structure is more fundamental than the physical substrate in which it is instantiated. From this claim, eight philosophical theses have been derived or motivated, covering the orientational character of consciousness, the threshold conditions for phenomenological presence, the formal ground of experiential unity, the ontological identity of consciousness with being's self-presence, the formal identity of freedom and consciousness, the distinction between two senses of freedom, the structural account of suffering, and the grounding of political justice in ontological structure.</w:t>
      </w:r>
    </w:p>
    <w:p>
      <w:pPr>
        <w:spacing w:after="160" w:before="0" w:line="360" w:lineRule="auto"/>
        <w:ind w:firstLine="720"/>
        <w:jc w:val="both"/>
      </w:pPr>
      <w:r>
        <w:rPr>
          <w:rFonts w:ascii="Arial" w:cs="Arial" w:eastAsia="Arial" w:hAnsi="Arial"/>
          <w:sz w:val="24"/>
          <w:szCs w:val="24"/>
        </w:rPr>
        <w:t xml:space="preserve">The framework is ambitious in scope and explicitly speculative in several of its claims. Its genuine contributions are these: a principled criterion for the threshold of consciousness that is more structural than existing functional criteria; a formal account of experiential unity that does not invoke neural integration as a primitive; a precise distinction between metaphysical and political freedom that resolves tensions in existing accounts; and a structural characterisation of suffering that connects philosophical ontology to clinical and contemplative insights.</w:t>
      </w:r>
    </w:p>
    <w:p>
      <w:pPr>
        <w:spacing w:after="160" w:before="0" w:line="360" w:lineRule="auto"/>
        <w:ind w:firstLine="720"/>
        <w:jc w:val="both"/>
      </w:pPr>
      <w:r>
        <w:rPr>
          <w:rFonts w:ascii="Arial" w:cs="Arial" w:eastAsia="Arial" w:hAnsi="Arial"/>
          <w:sz w:val="24"/>
          <w:szCs w:val="24"/>
        </w:rPr>
        <w:t xml:space="preserve">The framework's limits are equally explicit. The mathematical analogies are structural, not formal proofs. The metaphysical theses are motivated by the preceding arguments but not derivable from them alone. The political conclusions require additional argumentation to connect formal ontological claims to specific institutional structures. And the central question — what the self-originating act is prior to all expression — lies beyond the framework's reach.</w:t>
      </w:r>
    </w:p>
    <w:p>
      <w:pPr>
        <w:spacing w:after="160" w:before="0" w:line="360" w:lineRule="auto"/>
        <w:ind w:firstLine="720"/>
        <w:jc w:val="both"/>
      </w:pPr>
      <w:r>
        <w:rPr>
          <w:rFonts w:ascii="Arial" w:cs="Arial" w:eastAsia="Arial" w:hAnsi="Arial"/>
          <w:sz w:val="24"/>
          <w:szCs w:val="24"/>
        </w:rPr>
        <w:t xml:space="preserve">What the framework achieves, at its best, is the precise location of that question. Philosophy at the frontier of its reach does not answer the questions it finds there. But it can identify them clearly, show why they resist the methods that led to them, and point toward whatever else might be required. That is what this article attempts to do.</w:t>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pStyle w:val="Heading1"/>
        <w:spacing w:after="320" w:before="480"/>
      </w:pPr>
      <w:r>
        <w:rPr>
          <w:rFonts w:ascii="Arial" w:cs="Arial" w:eastAsia="Arial" w:hAnsi="Arial"/>
          <w:b/>
          <w:bCs/>
          <w:sz w:val="30"/>
          <w:szCs w:val="30"/>
        </w:rPr>
        <w:t xml:space="preserve">References</w:t>
      </w:r>
    </w:p>
    <w:p>
      <w:pPr>
        <w:spacing w:after="120" w:before="0" w:line="300" w:lineRule="auto"/>
        <w:ind w:left="720" w:hanging="720"/>
        <w:jc w:val="both"/>
      </w:pPr>
      <w:r>
        <w:rPr>
          <w:rFonts w:ascii="Arial" w:cs="Arial" w:eastAsia="Arial" w:hAnsi="Arial"/>
          <w:sz w:val="21"/>
          <w:szCs w:val="21"/>
        </w:rPr>
        <w:t xml:space="preserve">Arendt, H. (1951). The Origins of Totalitarianism. Harcourt, Brace and Company, New York.</w:t>
      </w:r>
    </w:p>
    <w:p>
      <w:pPr>
        <w:spacing w:after="120" w:before="0" w:line="300" w:lineRule="auto"/>
        <w:ind w:left="720" w:hanging="720"/>
        <w:jc w:val="both"/>
      </w:pPr>
      <w:r>
        <w:rPr>
          <w:rFonts w:ascii="Arial" w:cs="Arial" w:eastAsia="Arial" w:hAnsi="Arial"/>
          <w:sz w:val="21"/>
          <w:szCs w:val="21"/>
        </w:rPr>
        <w:t xml:space="preserve">Arendt, H. (1958). The Human Condition. University of Chicago Press, Chicago.</w:t>
      </w:r>
    </w:p>
    <w:p>
      <w:pPr>
        <w:spacing w:after="120" w:before="0" w:line="300" w:lineRule="auto"/>
        <w:ind w:left="720" w:hanging="720"/>
        <w:jc w:val="both"/>
      </w:pPr>
      <w:r>
        <w:rPr>
          <w:rFonts w:ascii="Arial" w:cs="Arial" w:eastAsia="Arial" w:hAnsi="Arial"/>
          <w:sz w:val="21"/>
          <w:szCs w:val="21"/>
        </w:rPr>
        <w:t xml:space="preserve">Aristotle (350 BCE / 1999). Nicomachean Ethics. Translated by T. Irwin. Hackett, Indianapolis.</w:t>
      </w:r>
    </w:p>
    <w:p>
      <w:pPr>
        <w:spacing w:after="120" w:before="0" w:line="300" w:lineRule="auto"/>
        <w:ind w:left="720" w:hanging="720"/>
        <w:jc w:val="both"/>
      </w:pPr>
      <w:r>
        <w:rPr>
          <w:rFonts w:ascii="Arial" w:cs="Arial" w:eastAsia="Arial" w:hAnsi="Arial"/>
          <w:sz w:val="21"/>
          <w:szCs w:val="21"/>
        </w:rPr>
        <w:t xml:space="preserve">Arnsten, A. F. T. (2009). Stress signalling pathways that impair prefrontal cortex structure and function. Nature Reviews Neuroscience, 10(6), 410-422.</w:t>
      </w:r>
    </w:p>
    <w:p>
      <w:pPr>
        <w:spacing w:after="120" w:before="0" w:line="300" w:lineRule="auto"/>
        <w:ind w:left="720" w:hanging="720"/>
        <w:jc w:val="both"/>
      </w:pPr>
      <w:r>
        <w:rPr>
          <w:rFonts w:ascii="Arial" w:cs="Arial" w:eastAsia="Arial" w:hAnsi="Arial"/>
          <w:sz w:val="21"/>
          <w:szCs w:val="21"/>
        </w:rPr>
        <w:t xml:space="preserve">Augustine of Hippo (397-400 CE / 1991). Confessions. Translated by H. Chadwick. Oxford University Press, Oxford.</w:t>
      </w:r>
    </w:p>
    <w:p>
      <w:pPr>
        <w:spacing w:after="120" w:before="0" w:line="300" w:lineRule="auto"/>
        <w:ind w:left="720" w:hanging="720"/>
        <w:jc w:val="both"/>
      </w:pPr>
      <w:r>
        <w:rPr>
          <w:rFonts w:ascii="Arial" w:cs="Arial" w:eastAsia="Arial" w:hAnsi="Arial"/>
          <w:sz w:val="21"/>
          <w:szCs w:val="21"/>
        </w:rPr>
        <w:t xml:space="preserve">Baars, B. J. (1988). A Cognitive Theory of Consciousness. Cambridge University Press, Cambridge.</w:t>
      </w:r>
    </w:p>
    <w:p>
      <w:pPr>
        <w:spacing w:after="120" w:before="0" w:line="300" w:lineRule="auto"/>
        <w:ind w:left="720" w:hanging="720"/>
        <w:jc w:val="both"/>
      </w:pPr>
      <w:r>
        <w:rPr>
          <w:rFonts w:ascii="Arial" w:cs="Arial" w:eastAsia="Arial" w:hAnsi="Arial"/>
          <w:sz w:val="21"/>
          <w:szCs w:val="21"/>
        </w:rPr>
        <w:t xml:space="preserve">Banach, S. (1922). Sur les operations dans les ensembles abstraits et leur application aux equations integrales. Fundamenta Mathematicae, 3, 133-181.</w:t>
      </w:r>
    </w:p>
    <w:p>
      <w:pPr>
        <w:spacing w:after="120" w:before="0" w:line="300" w:lineRule="auto"/>
        <w:ind w:left="720" w:hanging="720"/>
        <w:jc w:val="both"/>
      </w:pPr>
      <w:r>
        <w:rPr>
          <w:rFonts w:ascii="Arial" w:cs="Arial" w:eastAsia="Arial" w:hAnsi="Arial"/>
          <w:sz w:val="21"/>
          <w:szCs w:val="21"/>
        </w:rPr>
        <w:t xml:space="preserve">Berlin, I. (1958 / 1969). Two Concepts of Liberty. In Four Essays on Liberty. Oxford University Press, Oxford.</w:t>
      </w:r>
    </w:p>
    <w:p>
      <w:pPr>
        <w:spacing w:after="120" w:before="0" w:line="300" w:lineRule="auto"/>
        <w:ind w:left="720" w:hanging="720"/>
        <w:jc w:val="both"/>
      </w:pPr>
      <w:r>
        <w:rPr>
          <w:rFonts w:ascii="Arial" w:cs="Arial" w:eastAsia="Arial" w:hAnsi="Arial"/>
          <w:sz w:val="21"/>
          <w:szCs w:val="21"/>
        </w:rPr>
        <w:t xml:space="preserve">Brefczynski-Lewis, J. A., Lutz, A., Schaefer, H. S., Levinson, D. B., and Davidson, R. J. (2007). Neural correlates of attentional expertise in long-term meditation practitioners. Proceedings of the National Academy of Sciences, 104(27), 11483-11488.</w:t>
      </w:r>
    </w:p>
    <w:p>
      <w:pPr>
        <w:spacing w:after="120" w:before="0" w:line="300" w:lineRule="auto"/>
        <w:ind w:left="720" w:hanging="720"/>
        <w:jc w:val="both"/>
      </w:pPr>
      <w:r>
        <w:rPr>
          <w:rFonts w:ascii="Arial" w:cs="Arial" w:eastAsia="Arial" w:hAnsi="Arial"/>
          <w:sz w:val="21"/>
          <w:szCs w:val="21"/>
        </w:rPr>
        <w:t xml:space="preserve">Brentano, F. (1874 / 1995). Psychology from an Empirical Standpoint. Translated by A. C. Rancurello, D. B. Terrell, and L. L. McAlister. Routledge, London.</w:t>
      </w:r>
    </w:p>
    <w:p>
      <w:pPr>
        <w:spacing w:after="120" w:before="0" w:line="300" w:lineRule="auto"/>
        <w:ind w:left="720" w:hanging="720"/>
        <w:jc w:val="both"/>
      </w:pPr>
      <w:r>
        <w:rPr>
          <w:rFonts w:ascii="Arial" w:cs="Arial" w:eastAsia="Arial" w:hAnsi="Arial"/>
          <w:sz w:val="21"/>
          <w:szCs w:val="21"/>
        </w:rPr>
        <w:t xml:space="preserve">Buddhaghosa (5th century CE / 1991). Visuddhimagga: The Path of Purification. Translated by Bhikkhu Nanamoli. Buddhist Publication Society, Kandy.</w:t>
      </w:r>
    </w:p>
    <w:p>
      <w:pPr>
        <w:spacing w:after="120" w:before="0" w:line="300" w:lineRule="auto"/>
        <w:ind w:left="720" w:hanging="720"/>
        <w:jc w:val="both"/>
      </w:pPr>
      <w:r>
        <w:rPr>
          <w:rFonts w:ascii="Arial" w:cs="Arial" w:eastAsia="Arial" w:hAnsi="Arial"/>
          <w:sz w:val="21"/>
          <w:szCs w:val="21"/>
        </w:rPr>
        <w:t xml:space="preserve">Casali, A. G. et al. (2013). A Theoretically Based Index of Consciousness Independent of Sensory Processing and Behavior. Science Translational Medicine, 5(198), 198ra105.</w:t>
      </w:r>
    </w:p>
    <w:p>
      <w:pPr>
        <w:spacing w:after="120" w:before="0" w:line="300" w:lineRule="auto"/>
        <w:ind w:left="720" w:hanging="720"/>
        <w:jc w:val="both"/>
      </w:pPr>
      <w:r>
        <w:rPr>
          <w:rFonts w:ascii="Arial" w:cs="Arial" w:eastAsia="Arial" w:hAnsi="Arial"/>
          <w:sz w:val="21"/>
          <w:szCs w:val="21"/>
        </w:rPr>
        <w:t xml:space="preserve">Chalmers, D. J. (1995). Facing Up to the Problem of Consciousness. Journal of Consciousness Studies, 2(3), 200-219.</w:t>
      </w:r>
    </w:p>
    <w:p>
      <w:pPr>
        <w:spacing w:after="120" w:before="0" w:line="300" w:lineRule="auto"/>
        <w:ind w:left="720" w:hanging="720"/>
        <w:jc w:val="both"/>
      </w:pPr>
      <w:r>
        <w:rPr>
          <w:rFonts w:ascii="Arial" w:cs="Arial" w:eastAsia="Arial" w:hAnsi="Arial"/>
          <w:sz w:val="21"/>
          <w:szCs w:val="21"/>
        </w:rPr>
        <w:t xml:space="preserve">Chalmers, D. J. (1996). The Conscious Mind: In Search of a Fundamental Theory. Oxford University Press, Oxford.</w:t>
      </w:r>
    </w:p>
    <w:p>
      <w:pPr>
        <w:spacing w:after="120" w:before="0" w:line="300" w:lineRule="auto"/>
        <w:ind w:left="720" w:hanging="720"/>
        <w:jc w:val="both"/>
      </w:pPr>
      <w:r>
        <w:rPr>
          <w:rFonts w:ascii="Arial" w:cs="Arial" w:eastAsia="Arial" w:hAnsi="Arial"/>
          <w:sz w:val="21"/>
          <w:szCs w:val="21"/>
        </w:rPr>
        <w:t xml:space="preserve">Damasio, A. (1999). The Feeling of What Happens. Harcourt, New York.</w:t>
      </w:r>
    </w:p>
    <w:p>
      <w:pPr>
        <w:spacing w:after="120" w:before="0" w:line="300" w:lineRule="auto"/>
        <w:ind w:left="720" w:hanging="720"/>
        <w:jc w:val="both"/>
      </w:pPr>
      <w:r>
        <w:rPr>
          <w:rFonts w:ascii="Arial" w:cs="Arial" w:eastAsia="Arial" w:hAnsi="Arial"/>
          <w:sz w:val="21"/>
          <w:szCs w:val="21"/>
        </w:rPr>
        <w:t xml:space="preserve">Deci, E. L. and Ryan, R. M. (1985). Intrinsic Motivation and Self-Determination in Human Behavior. Plenum, New York.</w:t>
      </w:r>
    </w:p>
    <w:p>
      <w:pPr>
        <w:spacing w:after="120" w:before="0" w:line="300" w:lineRule="auto"/>
        <w:ind w:left="720" w:hanging="720"/>
        <w:jc w:val="both"/>
      </w:pPr>
      <w:r>
        <w:rPr>
          <w:rFonts w:ascii="Arial" w:cs="Arial" w:eastAsia="Arial" w:hAnsi="Arial"/>
          <w:sz w:val="21"/>
          <w:szCs w:val="21"/>
        </w:rPr>
        <w:t xml:space="preserve">Deci, E. L. and Ryan, R. M. (2000). The What and Why of Goal Pursuits. Psychological Inquiry, 11(4), 227-268.</w:t>
      </w:r>
    </w:p>
    <w:p>
      <w:pPr>
        <w:spacing w:after="120" w:before="0" w:line="300" w:lineRule="auto"/>
        <w:ind w:left="720" w:hanging="720"/>
        <w:jc w:val="both"/>
      </w:pPr>
      <w:r>
        <w:rPr>
          <w:rFonts w:ascii="Arial" w:cs="Arial" w:eastAsia="Arial" w:hAnsi="Arial"/>
          <w:sz w:val="21"/>
          <w:szCs w:val="21"/>
        </w:rPr>
        <w:t xml:space="preserve">Dehaene, S. (2014). Consciousness and the Brain. Viking, New York.</w:t>
      </w:r>
    </w:p>
    <w:p>
      <w:pPr>
        <w:spacing w:after="120" w:before="0" w:line="300" w:lineRule="auto"/>
        <w:ind w:left="720" w:hanging="720"/>
        <w:jc w:val="both"/>
      </w:pPr>
      <w:r>
        <w:rPr>
          <w:rFonts w:ascii="Arial" w:cs="Arial" w:eastAsia="Arial" w:hAnsi="Arial"/>
          <w:sz w:val="21"/>
          <w:szCs w:val="21"/>
        </w:rPr>
        <w:t xml:space="preserve">Eckhart, Meister (c. 1300 / 1981). The Essential Sermons. Translated by E. Colledge and B. McGinn. Paulist Press, New York.</w:t>
      </w:r>
    </w:p>
    <w:p>
      <w:pPr>
        <w:spacing w:after="120" w:before="0" w:line="300" w:lineRule="auto"/>
        <w:ind w:left="720" w:hanging="720"/>
        <w:jc w:val="both"/>
      </w:pPr>
      <w:r>
        <w:rPr>
          <w:rFonts w:ascii="Arial" w:cs="Arial" w:eastAsia="Arial" w:hAnsi="Arial"/>
          <w:sz w:val="21"/>
          <w:szCs w:val="21"/>
        </w:rPr>
        <w:t xml:space="preserve">Fichte, J. G. (1794 / 1982). The Science of Knowledge. Translated by P. Heath and J. Lachs. Cambridge University Press, Cambridge.</w:t>
      </w:r>
    </w:p>
    <w:p>
      <w:pPr>
        <w:spacing w:after="120" w:before="0" w:line="300" w:lineRule="auto"/>
        <w:ind w:left="720" w:hanging="720"/>
        <w:jc w:val="both"/>
      </w:pPr>
      <w:r>
        <w:rPr>
          <w:rFonts w:ascii="Arial" w:cs="Arial" w:eastAsia="Arial" w:hAnsi="Arial"/>
          <w:sz w:val="21"/>
          <w:szCs w:val="21"/>
        </w:rPr>
        <w:t xml:space="preserve">Frankl, V. E. (1946 / 1959). Man's Search for Meaning. Translated by I. Lasch. Beacon Press, Boston.</w:t>
      </w:r>
    </w:p>
    <w:p>
      <w:pPr>
        <w:spacing w:after="120" w:before="0" w:line="300" w:lineRule="auto"/>
        <w:ind w:left="720" w:hanging="720"/>
        <w:jc w:val="both"/>
      </w:pPr>
      <w:r>
        <w:rPr>
          <w:rFonts w:ascii="Arial" w:cs="Arial" w:eastAsia="Arial" w:hAnsi="Arial"/>
          <w:sz w:val="21"/>
          <w:szCs w:val="21"/>
        </w:rPr>
        <w:t xml:space="preserve">Frege, G. (1892 / 1948). Sense and Reference. Philosophical Review, 57(3), 209-230.</w:t>
      </w:r>
    </w:p>
    <w:p>
      <w:pPr>
        <w:spacing w:after="120" w:before="0" w:line="300" w:lineRule="auto"/>
        <w:ind w:left="720" w:hanging="720"/>
        <w:jc w:val="both"/>
      </w:pPr>
      <w:r>
        <w:rPr>
          <w:rFonts w:ascii="Arial" w:cs="Arial" w:eastAsia="Arial" w:hAnsi="Arial"/>
          <w:sz w:val="21"/>
          <w:szCs w:val="21"/>
        </w:rPr>
        <w:t xml:space="preserve">Friston, K. (2010). The free-energy principle: a unified brain theory? Nature Reviews Neuroscience, 11(2), 127-138.</w:t>
      </w:r>
    </w:p>
    <w:p>
      <w:pPr>
        <w:spacing w:after="120" w:before="0" w:line="300" w:lineRule="auto"/>
        <w:ind w:left="720" w:hanging="720"/>
        <w:jc w:val="both"/>
      </w:pPr>
      <w:r>
        <w:rPr>
          <w:rFonts w:ascii="Arial" w:cs="Arial" w:eastAsia="Arial" w:hAnsi="Arial"/>
          <w:sz w:val="21"/>
          <w:szCs w:val="21"/>
        </w:rPr>
        <w:t xml:space="preserve">Gallup, G. G. Jr. (1970). Chimpanzees: Self-Recognition. Science, 167(3914), 86-87.</w:t>
      </w:r>
    </w:p>
    <w:p>
      <w:pPr>
        <w:spacing w:after="120" w:before="0" w:line="300" w:lineRule="auto"/>
        <w:ind w:left="720" w:hanging="720"/>
        <w:jc w:val="both"/>
      </w:pPr>
      <w:r>
        <w:rPr>
          <w:rFonts w:ascii="Arial" w:cs="Arial" w:eastAsia="Arial" w:hAnsi="Arial"/>
          <w:sz w:val="21"/>
          <w:szCs w:val="21"/>
        </w:rPr>
        <w:t xml:space="preserve">Gazzaniga, M. S. (2005). Forty-five years of split-brain research and still going strong. Nature Reviews Neuroscience, 6(8), 653-659.</w:t>
      </w:r>
    </w:p>
    <w:p>
      <w:pPr>
        <w:spacing w:after="120" w:before="0" w:line="300" w:lineRule="auto"/>
        <w:ind w:left="720" w:hanging="720"/>
        <w:jc w:val="both"/>
      </w:pPr>
      <w:r>
        <w:rPr>
          <w:rFonts w:ascii="Arial" w:cs="Arial" w:eastAsia="Arial" w:hAnsi="Arial"/>
          <w:sz w:val="21"/>
          <w:szCs w:val="21"/>
        </w:rPr>
        <w:t xml:space="preserve">Godel, K. (1931). Uber formal unentscheidbare Satze der Principia Mathematica und verwandter Systeme. Monatshefte fur Mathematik und Physik, 38, 173-198.</w:t>
      </w:r>
    </w:p>
    <w:p>
      <w:pPr>
        <w:spacing w:after="120" w:before="0" w:line="300" w:lineRule="auto"/>
        <w:ind w:left="720" w:hanging="720"/>
        <w:jc w:val="both"/>
      </w:pPr>
      <w:r>
        <w:rPr>
          <w:rFonts w:ascii="Arial" w:cs="Arial" w:eastAsia="Arial" w:hAnsi="Arial"/>
          <w:sz w:val="21"/>
          <w:szCs w:val="21"/>
        </w:rPr>
        <w:t xml:space="preserve">Hegel, G. W. F. (1807 / 1977). Phenomenology of Spirit. Translated by A. V. Miller. Oxford University Press, Oxford.</w:t>
      </w:r>
    </w:p>
    <w:p>
      <w:pPr>
        <w:spacing w:after="120" w:before="0" w:line="300" w:lineRule="auto"/>
        <w:ind w:left="720" w:hanging="720"/>
        <w:jc w:val="both"/>
      </w:pPr>
      <w:r>
        <w:rPr>
          <w:rFonts w:ascii="Arial" w:cs="Arial" w:eastAsia="Arial" w:hAnsi="Arial"/>
          <w:sz w:val="21"/>
          <w:szCs w:val="21"/>
        </w:rPr>
        <w:t xml:space="preserve">Hegel, G. W. F. (1812-1816 / 2010). Science of Logic. Translated by G. di Giovanni. Cambridge University Press, Cambridge.</w:t>
      </w:r>
    </w:p>
    <w:p>
      <w:pPr>
        <w:spacing w:after="120" w:before="0" w:line="300" w:lineRule="auto"/>
        <w:ind w:left="720" w:hanging="720"/>
        <w:jc w:val="both"/>
      </w:pPr>
      <w:r>
        <w:rPr>
          <w:rFonts w:ascii="Arial" w:cs="Arial" w:eastAsia="Arial" w:hAnsi="Arial"/>
          <w:sz w:val="21"/>
          <w:szCs w:val="21"/>
        </w:rPr>
        <w:t xml:space="preserve">Heidegger, M. (1927 / 1962). Being and Time. Translated by J. Macquarrie and E. Robinson. Harper and Row, New York.</w:t>
      </w:r>
    </w:p>
    <w:p>
      <w:pPr>
        <w:spacing w:after="120" w:before="0" w:line="300" w:lineRule="auto"/>
        <w:ind w:left="720" w:hanging="720"/>
        <w:jc w:val="both"/>
      </w:pPr>
      <w:r>
        <w:rPr>
          <w:rFonts w:ascii="Arial" w:cs="Arial" w:eastAsia="Arial" w:hAnsi="Arial"/>
          <w:sz w:val="21"/>
          <w:szCs w:val="21"/>
        </w:rPr>
        <w:t xml:space="preserve">Herman, J. L. (1992). Trauma and Recovery. Basic Books, New York.</w:t>
      </w:r>
    </w:p>
    <w:p>
      <w:pPr>
        <w:spacing w:after="120" w:before="0" w:line="300" w:lineRule="auto"/>
        <w:ind w:left="720" w:hanging="720"/>
        <w:jc w:val="both"/>
      </w:pPr>
      <w:r>
        <w:rPr>
          <w:rFonts w:ascii="Arial" w:cs="Arial" w:eastAsia="Arial" w:hAnsi="Arial"/>
          <w:sz w:val="21"/>
          <w:szCs w:val="21"/>
        </w:rPr>
        <w:t xml:space="preserve">Hofstadter, D. R. (1979). Godel, Escher, Bach: An Eternal Golden Braid. Basic Books, New York.</w:t>
      </w:r>
    </w:p>
    <w:p>
      <w:pPr>
        <w:spacing w:after="120" w:before="0" w:line="300" w:lineRule="auto"/>
        <w:ind w:left="720" w:hanging="720"/>
        <w:jc w:val="both"/>
      </w:pPr>
      <w:r>
        <w:rPr>
          <w:rFonts w:ascii="Arial" w:cs="Arial" w:eastAsia="Arial" w:hAnsi="Arial"/>
          <w:sz w:val="21"/>
          <w:szCs w:val="21"/>
        </w:rPr>
        <w:t xml:space="preserve">Hume, D. (1739 / 2000). A Treatise of Human Nature. Edited by D. F. Norton and M. J. Norton. Oxford University Press, Oxford.</w:t>
      </w:r>
    </w:p>
    <w:p>
      <w:pPr>
        <w:spacing w:after="120" w:before="0" w:line="300" w:lineRule="auto"/>
        <w:ind w:left="720" w:hanging="720"/>
        <w:jc w:val="both"/>
      </w:pPr>
      <w:r>
        <w:rPr>
          <w:rFonts w:ascii="Arial" w:cs="Arial" w:eastAsia="Arial" w:hAnsi="Arial"/>
          <w:sz w:val="21"/>
          <w:szCs w:val="21"/>
        </w:rPr>
        <w:t xml:space="preserve">Husserl, E. (1913 / 1983). Ideas Pertaining to a Pure Phenomenology. Translated by F. Kersten. Martinus Nijhoff, The Hague.</w:t>
      </w:r>
    </w:p>
    <w:p>
      <w:pPr>
        <w:spacing w:after="120" w:before="0" w:line="300" w:lineRule="auto"/>
        <w:ind w:left="720" w:hanging="720"/>
        <w:jc w:val="both"/>
      </w:pPr>
      <w:r>
        <w:rPr>
          <w:rFonts w:ascii="Arial" w:cs="Arial" w:eastAsia="Arial" w:hAnsi="Arial"/>
          <w:sz w:val="21"/>
          <w:szCs w:val="21"/>
        </w:rPr>
        <w:t xml:space="preserve">Husserl, E. (1928 / 1991). On the Phenomenology of the Consciousness of Internal Time. Translated by J. B. Brough. Kluwer, Dordrecht.</w:t>
      </w:r>
    </w:p>
    <w:p>
      <w:pPr>
        <w:spacing w:after="120" w:before="0" w:line="300" w:lineRule="auto"/>
        <w:ind w:left="720" w:hanging="720"/>
        <w:jc w:val="both"/>
      </w:pPr>
      <w:r>
        <w:rPr>
          <w:rFonts w:ascii="Arial" w:cs="Arial" w:eastAsia="Arial" w:hAnsi="Arial"/>
          <w:sz w:val="21"/>
          <w:szCs w:val="21"/>
        </w:rPr>
        <w:t xml:space="preserve">Jackson, F. (1982). Epiphenomenal Qualia. Philosophical Quarterly, 32(127), 127-136.</w:t>
      </w:r>
    </w:p>
    <w:p>
      <w:pPr>
        <w:spacing w:after="120" w:before="0" w:line="300" w:lineRule="auto"/>
        <w:ind w:left="720" w:hanging="720"/>
        <w:jc w:val="both"/>
      </w:pPr>
      <w:r>
        <w:rPr>
          <w:rFonts w:ascii="Arial" w:cs="Arial" w:eastAsia="Arial" w:hAnsi="Arial"/>
          <w:sz w:val="21"/>
          <w:szCs w:val="21"/>
        </w:rPr>
        <w:t xml:space="preserve">James, W. (1890). The Principles of Psychology. Henry Holt, New York.</w:t>
      </w:r>
    </w:p>
    <w:p>
      <w:pPr>
        <w:spacing w:after="120" w:before="0" w:line="300" w:lineRule="auto"/>
        <w:ind w:left="720" w:hanging="720"/>
        <w:jc w:val="both"/>
      </w:pPr>
      <w:r>
        <w:rPr>
          <w:rFonts w:ascii="Arial" w:cs="Arial" w:eastAsia="Arial" w:hAnsi="Arial"/>
          <w:sz w:val="21"/>
          <w:szCs w:val="21"/>
        </w:rPr>
        <w:t xml:space="preserve">Kant, I. (1781 / 1998). Critique of Pure Reason. Translated by P. Guyer and A. W. Wood. Cambridge University Press, Cambridge.</w:t>
      </w:r>
    </w:p>
    <w:p>
      <w:pPr>
        <w:spacing w:after="120" w:before="0" w:line="300" w:lineRule="auto"/>
        <w:ind w:left="720" w:hanging="720"/>
        <w:jc w:val="both"/>
      </w:pPr>
      <w:r>
        <w:rPr>
          <w:rFonts w:ascii="Arial" w:cs="Arial" w:eastAsia="Arial" w:hAnsi="Arial"/>
          <w:sz w:val="21"/>
          <w:szCs w:val="21"/>
        </w:rPr>
        <w:t xml:space="preserve">Kant, I. (1785 / 1998). Groundwork of the Metaphysics of Morals. Translated by M. Gregor. Cambridge University Press, Cambridge.</w:t>
      </w:r>
    </w:p>
    <w:p>
      <w:pPr>
        <w:spacing w:after="120" w:before="0" w:line="300" w:lineRule="auto"/>
        <w:ind w:left="720" w:hanging="720"/>
        <w:jc w:val="both"/>
      </w:pPr>
      <w:r>
        <w:rPr>
          <w:rFonts w:ascii="Arial" w:cs="Arial" w:eastAsia="Arial" w:hAnsi="Arial"/>
          <w:sz w:val="21"/>
          <w:szCs w:val="21"/>
        </w:rPr>
        <w:t xml:space="preserve">Kauffman, S. A. (1993). The Origins of Order. Oxford University Press, Oxford.</w:t>
      </w:r>
    </w:p>
    <w:p>
      <w:pPr>
        <w:spacing w:after="120" w:before="0" w:line="300" w:lineRule="auto"/>
        <w:ind w:left="720" w:hanging="720"/>
        <w:jc w:val="both"/>
      </w:pPr>
      <w:r>
        <w:rPr>
          <w:rFonts w:ascii="Arial" w:cs="Arial" w:eastAsia="Arial" w:hAnsi="Arial"/>
          <w:sz w:val="21"/>
          <w:szCs w:val="21"/>
        </w:rPr>
        <w:t xml:space="preserve">Kauffman, S. A. (2019). A World Beyond Physics. Oxford University Press, Oxford.</w:t>
      </w:r>
    </w:p>
    <w:p>
      <w:pPr>
        <w:spacing w:after="120" w:before="0" w:line="300" w:lineRule="auto"/>
        <w:ind w:left="720" w:hanging="720"/>
        <w:jc w:val="both"/>
      </w:pPr>
      <w:r>
        <w:rPr>
          <w:rFonts w:ascii="Arial" w:cs="Arial" w:eastAsia="Arial" w:hAnsi="Arial"/>
          <w:sz w:val="21"/>
          <w:szCs w:val="21"/>
        </w:rPr>
        <w:t xml:space="preserve">Kierkegaard, S. (1849 / 1980). The Sickness Unto Death. Translated by H. V. Hong and E. H. Hong. Princeton University Press, Princeton.</w:t>
      </w:r>
    </w:p>
    <w:p>
      <w:pPr>
        <w:spacing w:after="120" w:before="0" w:line="300" w:lineRule="auto"/>
        <w:ind w:left="720" w:hanging="720"/>
        <w:jc w:val="both"/>
      </w:pPr>
      <w:r>
        <w:rPr>
          <w:rFonts w:ascii="Arial" w:cs="Arial" w:eastAsia="Arial" w:hAnsi="Arial"/>
          <w:sz w:val="21"/>
          <w:szCs w:val="21"/>
        </w:rPr>
        <w:t xml:space="preserve">Lamme, V. A. F. (2006). Towards a true neural stance on consciousness. Trends in Cognitive Sciences, 10(11), 494-501.</w:t>
      </w:r>
    </w:p>
    <w:p>
      <w:pPr>
        <w:spacing w:after="120" w:before="0" w:line="300" w:lineRule="auto"/>
        <w:ind w:left="720" w:hanging="720"/>
        <w:jc w:val="both"/>
      </w:pPr>
      <w:r>
        <w:rPr>
          <w:rFonts w:ascii="Arial" w:cs="Arial" w:eastAsia="Arial" w:hAnsi="Arial"/>
          <w:sz w:val="21"/>
          <w:szCs w:val="21"/>
        </w:rPr>
        <w:t xml:space="preserve">Leibniz, G. W. (1714 / 1989). The Principles of Nature and Grace. In Philosophical Essays. Translated by R. Ariew and D. Garber. Hackett, Indianapolis.</w:t>
      </w:r>
    </w:p>
    <w:p>
      <w:pPr>
        <w:spacing w:after="120" w:before="0" w:line="300" w:lineRule="auto"/>
        <w:ind w:left="720" w:hanging="720"/>
        <w:jc w:val="both"/>
      </w:pPr>
      <w:r>
        <w:rPr>
          <w:rFonts w:ascii="Arial" w:cs="Arial" w:eastAsia="Arial" w:hAnsi="Arial"/>
          <w:sz w:val="21"/>
          <w:szCs w:val="21"/>
        </w:rPr>
        <w:t xml:space="preserve">Levine, J. (1983). Materialism and Qualia: The Explanatory Gap. Pacific Philosophical Quarterly, 64(4), 354-361.</w:t>
      </w:r>
    </w:p>
    <w:p>
      <w:pPr>
        <w:spacing w:after="120" w:before="0" w:line="300" w:lineRule="auto"/>
        <w:ind w:left="720" w:hanging="720"/>
        <w:jc w:val="both"/>
      </w:pPr>
      <w:r>
        <w:rPr>
          <w:rFonts w:ascii="Arial" w:cs="Arial" w:eastAsia="Arial" w:hAnsi="Arial"/>
          <w:sz w:val="21"/>
          <w:szCs w:val="21"/>
        </w:rPr>
        <w:t xml:space="preserve">Lutz, A., Greischar, L. L., Rawlings, N. B., Ricard, M., and Davidson, R. J. (2004). Long-term meditators self-induce high-amplitude gamma synchrony during mental practice. Proceedings of the National Academy of Sciences, 101(46), 16369-16373.</w:t>
      </w:r>
    </w:p>
    <w:p>
      <w:pPr>
        <w:spacing w:after="120" w:before="0" w:line="300" w:lineRule="auto"/>
        <w:ind w:left="720" w:hanging="720"/>
        <w:jc w:val="both"/>
      </w:pPr>
      <w:r>
        <w:rPr>
          <w:rFonts w:ascii="Arial" w:cs="Arial" w:eastAsia="Arial" w:hAnsi="Arial"/>
          <w:sz w:val="21"/>
          <w:szCs w:val="21"/>
        </w:rPr>
        <w:t xml:space="preserve">MacIntyre, A. (1981). After Virtue. University of Notre Dame Press, Notre Dame.</w:t>
      </w:r>
    </w:p>
    <w:p>
      <w:pPr>
        <w:spacing w:after="120" w:before="0" w:line="300" w:lineRule="auto"/>
        <w:ind w:left="720" w:hanging="720"/>
        <w:jc w:val="both"/>
      </w:pPr>
      <w:r>
        <w:rPr>
          <w:rFonts w:ascii="Arial" w:cs="Arial" w:eastAsia="Arial" w:hAnsi="Arial"/>
          <w:sz w:val="21"/>
          <w:szCs w:val="21"/>
        </w:rPr>
        <w:t xml:space="preserve">Mackie, J. L. (1977). Ethics: Inventing Right and Wrong. Penguin, London.</w:t>
      </w:r>
    </w:p>
    <w:p>
      <w:pPr>
        <w:spacing w:after="120" w:before="0" w:line="300" w:lineRule="auto"/>
        <w:ind w:left="720" w:hanging="720"/>
        <w:jc w:val="both"/>
      </w:pPr>
      <w:r>
        <w:rPr>
          <w:rFonts w:ascii="Arial" w:cs="Arial" w:eastAsia="Arial" w:hAnsi="Arial"/>
          <w:sz w:val="21"/>
          <w:szCs w:val="21"/>
        </w:rPr>
        <w:t xml:space="preserve">Marx, K. (1844 / 1975). Economic and Philosophic Manuscripts of 1844. In Early Writings. Translated by R. Livingstone and G. Benton. Penguin, London.</w:t>
      </w:r>
    </w:p>
    <w:p>
      <w:pPr>
        <w:spacing w:after="120" w:before="0" w:line="300" w:lineRule="auto"/>
        <w:ind w:left="720" w:hanging="720"/>
        <w:jc w:val="both"/>
      </w:pPr>
      <w:r>
        <w:rPr>
          <w:rFonts w:ascii="Arial" w:cs="Arial" w:eastAsia="Arial" w:hAnsi="Arial"/>
          <w:sz w:val="21"/>
          <w:szCs w:val="21"/>
        </w:rPr>
        <w:t xml:space="preserve">Mattos, J. C. de (2023). Filosofia das Virtudes: Manifesto das Virtudes. Filosofia das Virtudes, Rio de Janeiro.</w:t>
      </w:r>
    </w:p>
    <w:p>
      <w:pPr>
        <w:spacing w:after="120" w:before="0" w:line="300" w:lineRule="auto"/>
        <w:ind w:left="720" w:hanging="720"/>
        <w:jc w:val="both"/>
      </w:pPr>
      <w:r>
        <w:rPr>
          <w:rFonts w:ascii="Arial" w:cs="Arial" w:eastAsia="Arial" w:hAnsi="Arial"/>
          <w:sz w:val="21"/>
          <w:szCs w:val="21"/>
        </w:rPr>
        <w:t xml:space="preserve">Mattos, J. C. de (2024). The Dynamic Freedom Theorem as a Complete Dynamic System. Filosofia das Virtudes, Merano.</w:t>
      </w:r>
    </w:p>
    <w:p>
      <w:pPr>
        <w:spacing w:after="120" w:before="0" w:line="300" w:lineRule="auto"/>
        <w:ind w:left="720" w:hanging="720"/>
        <w:jc w:val="both"/>
      </w:pPr>
      <w:r>
        <w:rPr>
          <w:rFonts w:ascii="Arial" w:cs="Arial" w:eastAsia="Arial" w:hAnsi="Arial"/>
          <w:sz w:val="21"/>
          <w:szCs w:val="21"/>
        </w:rPr>
        <w:t xml:space="preserve">Mattos, J. C. de (2026). The Method of Frontier Knowledge. Filosofia das Virtudes, Merano.</w:t>
      </w:r>
    </w:p>
    <w:p>
      <w:pPr>
        <w:spacing w:after="120" w:before="0" w:line="300" w:lineRule="auto"/>
        <w:ind w:left="720" w:hanging="720"/>
        <w:jc w:val="both"/>
      </w:pPr>
      <w:r>
        <w:rPr>
          <w:rFonts w:ascii="Arial" w:cs="Arial" w:eastAsia="Arial" w:hAnsi="Arial"/>
          <w:sz w:val="21"/>
          <w:szCs w:val="21"/>
        </w:rPr>
        <w:t xml:space="preserve">Maturana, H. R. and Varela, F. J. (1972). Autopoiesis and Cognition. D. Reidel, Dordrecht.</w:t>
      </w:r>
    </w:p>
    <w:p>
      <w:pPr>
        <w:spacing w:after="120" w:before="0" w:line="300" w:lineRule="auto"/>
        <w:ind w:left="720" w:hanging="720"/>
        <w:jc w:val="both"/>
      </w:pPr>
      <w:r>
        <w:rPr>
          <w:rFonts w:ascii="Arial" w:cs="Arial" w:eastAsia="Arial" w:hAnsi="Arial"/>
          <w:sz w:val="21"/>
          <w:szCs w:val="21"/>
        </w:rPr>
        <w:t xml:space="preserve">Maturana, H. R. and Varela, F. J. (1980). Autopoiesis and Cognition. Second edition. D. Reidel, Dordrecht.</w:t>
      </w:r>
    </w:p>
    <w:p>
      <w:pPr>
        <w:spacing w:after="120" w:before="0" w:line="300" w:lineRule="auto"/>
        <w:ind w:left="720" w:hanging="720"/>
        <w:jc w:val="both"/>
      </w:pPr>
      <w:r>
        <w:rPr>
          <w:rFonts w:ascii="Arial" w:cs="Arial" w:eastAsia="Arial" w:hAnsi="Arial"/>
          <w:sz w:val="21"/>
          <w:szCs w:val="21"/>
        </w:rPr>
        <w:t xml:space="preserve">McEwen, B. S. (1998). Stress, Adaptation, and Disease. Annals of the New York Academy of Sciences, 840(1), 33-44.</w:t>
      </w:r>
    </w:p>
    <w:p>
      <w:pPr>
        <w:spacing w:after="120" w:before="0" w:line="300" w:lineRule="auto"/>
        <w:ind w:left="720" w:hanging="720"/>
        <w:jc w:val="both"/>
      </w:pPr>
      <w:r>
        <w:rPr>
          <w:rFonts w:ascii="Arial" w:cs="Arial" w:eastAsia="Arial" w:hAnsi="Arial"/>
          <w:sz w:val="21"/>
          <w:szCs w:val="21"/>
        </w:rPr>
        <w:t xml:space="preserve">Merleau-Ponty, M. (1945 / 2012). Phenomenology of Perception. Translated by D. A. Landes. Routledge, London.</w:t>
      </w:r>
    </w:p>
    <w:p>
      <w:pPr>
        <w:spacing w:after="120" w:before="0" w:line="300" w:lineRule="auto"/>
        <w:ind w:left="720" w:hanging="720"/>
        <w:jc w:val="both"/>
      </w:pPr>
      <w:r>
        <w:rPr>
          <w:rFonts w:ascii="Arial" w:cs="Arial" w:eastAsia="Arial" w:hAnsi="Arial"/>
          <w:sz w:val="21"/>
          <w:szCs w:val="21"/>
        </w:rPr>
        <w:t xml:space="preserve">Mill, J. S. (1863 / 1998). Utilitarianism. Edited by R. Crisp. Oxford University Press, Oxford.</w:t>
      </w:r>
    </w:p>
    <w:p>
      <w:pPr>
        <w:spacing w:after="120" w:before="0" w:line="300" w:lineRule="auto"/>
        <w:ind w:left="720" w:hanging="720"/>
        <w:jc w:val="both"/>
      </w:pPr>
      <w:r>
        <w:rPr>
          <w:rFonts w:ascii="Arial" w:cs="Arial" w:eastAsia="Arial" w:hAnsi="Arial"/>
          <w:sz w:val="21"/>
          <w:szCs w:val="21"/>
        </w:rPr>
        <w:t xml:space="preserve">Moore, G. E. (1903). Principia Ethica. Cambridge University Press, Cambridge.</w:t>
      </w:r>
    </w:p>
    <w:p>
      <w:pPr>
        <w:spacing w:after="120" w:before="0" w:line="300" w:lineRule="auto"/>
        <w:ind w:left="720" w:hanging="720"/>
        <w:jc w:val="both"/>
      </w:pPr>
      <w:r>
        <w:rPr>
          <w:rFonts w:ascii="Arial" w:cs="Arial" w:eastAsia="Arial" w:hAnsi="Arial"/>
          <w:sz w:val="21"/>
          <w:szCs w:val="21"/>
        </w:rPr>
        <w:t xml:space="preserve">Nagarjuna (c. 150 CE / 1995). The Fundamental Wisdom of the Middle Way. Translated by J. L. Garfield. Oxford University Press, Oxford.</w:t>
      </w:r>
    </w:p>
    <w:p>
      <w:pPr>
        <w:spacing w:after="120" w:before="0" w:line="300" w:lineRule="auto"/>
        <w:ind w:left="720" w:hanging="720"/>
        <w:jc w:val="both"/>
      </w:pPr>
      <w:r>
        <w:rPr>
          <w:rFonts w:ascii="Arial" w:cs="Arial" w:eastAsia="Arial" w:hAnsi="Arial"/>
          <w:sz w:val="21"/>
          <w:szCs w:val="21"/>
        </w:rPr>
        <w:t xml:space="preserve">Nagel, T. (1974). What Is It Like to Be a Bat? Philosophical Review, 83(4), 435-450.</w:t>
      </w:r>
    </w:p>
    <w:p>
      <w:pPr>
        <w:spacing w:after="120" w:before="0" w:line="300" w:lineRule="auto"/>
        <w:ind w:left="720" w:hanging="720"/>
        <w:jc w:val="both"/>
      </w:pPr>
      <w:r>
        <w:rPr>
          <w:rFonts w:ascii="Arial" w:cs="Arial" w:eastAsia="Arial" w:hAnsi="Arial"/>
          <w:sz w:val="21"/>
          <w:szCs w:val="21"/>
        </w:rPr>
        <w:t xml:space="preserve">Parfit, D. (2011). On What Matters. Oxford University Press, Oxford.</w:t>
      </w:r>
    </w:p>
    <w:p>
      <w:pPr>
        <w:spacing w:after="120" w:before="0" w:line="300" w:lineRule="auto"/>
        <w:ind w:left="720" w:hanging="720"/>
        <w:jc w:val="both"/>
      </w:pPr>
      <w:r>
        <w:rPr>
          <w:rFonts w:ascii="Arial" w:cs="Arial" w:eastAsia="Arial" w:hAnsi="Arial"/>
          <w:sz w:val="21"/>
          <w:szCs w:val="21"/>
        </w:rPr>
        <w:t xml:space="preserve">Pseudo-Dionysius the Areopagite (c. 500 CE / 1987). The Mystical Theology. In Pseudo-Dionysius: The Complete Works. Translated by C. Luibheid. Paulist Press, New York.</w:t>
      </w:r>
    </w:p>
    <w:p>
      <w:pPr>
        <w:spacing w:after="120" w:before="0" w:line="300" w:lineRule="auto"/>
        <w:ind w:left="720" w:hanging="720"/>
        <w:jc w:val="both"/>
      </w:pPr>
      <w:r>
        <w:rPr>
          <w:rFonts w:ascii="Arial" w:cs="Arial" w:eastAsia="Arial" w:hAnsi="Arial"/>
          <w:sz w:val="21"/>
          <w:szCs w:val="21"/>
        </w:rPr>
        <w:t xml:space="preserve">Rawls, J. (1971). A Theory of Justice. Harvard University Press, Cambridge, MA.</w:t>
      </w:r>
    </w:p>
    <w:p>
      <w:pPr>
        <w:spacing w:after="120" w:before="0" w:line="300" w:lineRule="auto"/>
        <w:ind w:left="720" w:hanging="720"/>
        <w:jc w:val="both"/>
      </w:pPr>
      <w:r>
        <w:rPr>
          <w:rFonts w:ascii="Arial" w:cs="Arial" w:eastAsia="Arial" w:hAnsi="Arial"/>
          <w:sz w:val="21"/>
          <w:szCs w:val="21"/>
        </w:rPr>
        <w:t xml:space="preserve">Rosenthal, D. M. (2005). Consciousness and Mind. Oxford University Press, Oxford.</w:t>
      </w:r>
    </w:p>
    <w:p>
      <w:pPr>
        <w:spacing w:after="120" w:before="0" w:line="300" w:lineRule="auto"/>
        <w:ind w:left="720" w:hanging="720"/>
        <w:jc w:val="both"/>
      </w:pPr>
      <w:r>
        <w:rPr>
          <w:rFonts w:ascii="Arial" w:cs="Arial" w:eastAsia="Arial" w:hAnsi="Arial"/>
          <w:sz w:val="21"/>
          <w:szCs w:val="21"/>
        </w:rPr>
        <w:t xml:space="preserve">Sartre, J. P. (1943 / 1956). Being and Nothingness. Translated by H. Barnes. Philosophical Library, New York.</w:t>
      </w:r>
    </w:p>
    <w:p>
      <w:pPr>
        <w:spacing w:after="120" w:before="0" w:line="300" w:lineRule="auto"/>
        <w:ind w:left="720" w:hanging="720"/>
        <w:jc w:val="both"/>
      </w:pPr>
      <w:r>
        <w:rPr>
          <w:rFonts w:ascii="Arial" w:cs="Arial" w:eastAsia="Arial" w:hAnsi="Arial"/>
          <w:sz w:val="21"/>
          <w:szCs w:val="21"/>
        </w:rPr>
        <w:t xml:space="preserve">Scanlon, T. M. (1998). What We Owe to Each Other. Harvard University Press, Cambridge, MA.</w:t>
      </w:r>
    </w:p>
    <w:p>
      <w:pPr>
        <w:spacing w:after="120" w:before="0" w:line="300" w:lineRule="auto"/>
        <w:ind w:left="720" w:hanging="720"/>
        <w:jc w:val="both"/>
      </w:pPr>
      <w:r>
        <w:rPr>
          <w:rFonts w:ascii="Arial" w:cs="Arial" w:eastAsia="Arial" w:hAnsi="Arial"/>
          <w:sz w:val="21"/>
          <w:szCs w:val="21"/>
        </w:rPr>
        <w:t xml:space="preserve">Schrodinger, E. (1944). What is Life? Cambridge University Press, Cambridge.</w:t>
      </w:r>
    </w:p>
    <w:p>
      <w:pPr>
        <w:spacing w:after="120" w:before="0" w:line="300" w:lineRule="auto"/>
        <w:ind w:left="720" w:hanging="720"/>
        <w:jc w:val="both"/>
      </w:pPr>
      <w:r>
        <w:rPr>
          <w:rFonts w:ascii="Arial" w:cs="Arial" w:eastAsia="Arial" w:hAnsi="Arial"/>
          <w:sz w:val="21"/>
          <w:szCs w:val="21"/>
        </w:rPr>
        <w:t xml:space="preserve">Sen, A. (1999). Development as Freedom. Knopf, New York.</w:t>
      </w:r>
    </w:p>
    <w:p>
      <w:pPr>
        <w:spacing w:after="120" w:before="0" w:line="300" w:lineRule="auto"/>
        <w:ind w:left="720" w:hanging="720"/>
        <w:jc w:val="both"/>
      </w:pPr>
      <w:r>
        <w:rPr>
          <w:rFonts w:ascii="Arial" w:cs="Arial" w:eastAsia="Arial" w:hAnsi="Arial"/>
          <w:sz w:val="21"/>
          <w:szCs w:val="21"/>
        </w:rPr>
        <w:t xml:space="preserve">Shankara (8th century CE / 1970). Vivekacudamani. Translated by S. Prabhavananda and C. Isherwood. Vedanta Press, Hollywood.</w:t>
      </w:r>
    </w:p>
    <w:p>
      <w:pPr>
        <w:spacing w:after="120" w:before="0" w:line="300" w:lineRule="auto"/>
        <w:ind w:left="720" w:hanging="720"/>
        <w:jc w:val="both"/>
      </w:pPr>
      <w:r>
        <w:rPr>
          <w:rFonts w:ascii="Arial" w:cs="Arial" w:eastAsia="Arial" w:hAnsi="Arial"/>
          <w:sz w:val="21"/>
          <w:szCs w:val="21"/>
        </w:rPr>
        <w:t xml:space="preserve">Spencer-Brown, G. (1969). Laws of Form. George Allen and Unwin, London.</w:t>
      </w:r>
    </w:p>
    <w:p>
      <w:pPr>
        <w:spacing w:after="120" w:before="0" w:line="300" w:lineRule="auto"/>
        <w:ind w:left="720" w:hanging="720"/>
        <w:jc w:val="both"/>
      </w:pPr>
      <w:r>
        <w:rPr>
          <w:rFonts w:ascii="Arial" w:cs="Arial" w:eastAsia="Arial" w:hAnsi="Arial"/>
          <w:sz w:val="21"/>
          <w:szCs w:val="21"/>
        </w:rPr>
        <w:t xml:space="preserve">Sperry, R. W. (1968). Hemisphere deconnection and unity in conscious awareness. American Psychologist, 23(10), 723-733.</w:t>
      </w:r>
    </w:p>
    <w:p>
      <w:pPr>
        <w:spacing w:after="120" w:before="0" w:line="300" w:lineRule="auto"/>
        <w:ind w:left="720" w:hanging="720"/>
        <w:jc w:val="both"/>
      </w:pPr>
      <w:r>
        <w:rPr>
          <w:rFonts w:ascii="Arial" w:cs="Arial" w:eastAsia="Arial" w:hAnsi="Arial"/>
          <w:sz w:val="21"/>
          <w:szCs w:val="21"/>
        </w:rPr>
        <w:t xml:space="preserve">Stern, D. N. (1985). The Interpersonal World of the Infant. Basic Books, New York.</w:t>
      </w:r>
    </w:p>
    <w:p>
      <w:pPr>
        <w:spacing w:after="120" w:before="0" w:line="300" w:lineRule="auto"/>
        <w:ind w:left="720" w:hanging="720"/>
        <w:jc w:val="both"/>
      </w:pPr>
      <w:r>
        <w:rPr>
          <w:rFonts w:ascii="Arial" w:cs="Arial" w:eastAsia="Arial" w:hAnsi="Arial"/>
          <w:sz w:val="21"/>
          <w:szCs w:val="21"/>
        </w:rPr>
        <w:t xml:space="preserve">Tedeschi, R. G. and Calhoun, L. G. (1996). The Posttraumatic Growth Inventory. Journal of Traumatic Stress, 9(3), 455-471.</w:t>
      </w:r>
    </w:p>
    <w:p>
      <w:pPr>
        <w:spacing w:after="120" w:before="0" w:line="300" w:lineRule="auto"/>
        <w:ind w:left="720" w:hanging="720"/>
        <w:jc w:val="both"/>
      </w:pPr>
      <w:r>
        <w:rPr>
          <w:rFonts w:ascii="Arial" w:cs="Arial" w:eastAsia="Arial" w:hAnsi="Arial"/>
          <w:sz w:val="21"/>
          <w:szCs w:val="21"/>
        </w:rPr>
        <w:t xml:space="preserve">Tedeschi, R. G. and Calhoun, L. G. (2004). Posttraumatic Growth: Conceptual Foundations and Empirical Evidence. Psychological Inquiry, 15(1), 1-18.</w:t>
      </w:r>
    </w:p>
    <w:p>
      <w:pPr>
        <w:spacing w:after="120" w:before="0" w:line="300" w:lineRule="auto"/>
        <w:ind w:left="720" w:hanging="720"/>
        <w:jc w:val="both"/>
      </w:pPr>
      <w:r>
        <w:rPr>
          <w:rFonts w:ascii="Arial" w:cs="Arial" w:eastAsia="Arial" w:hAnsi="Arial"/>
          <w:sz w:val="21"/>
          <w:szCs w:val="21"/>
        </w:rPr>
        <w:t xml:space="preserve">Thompson, E. (2015). Waking, Dreaming, Being. Columbia University Press, New York.</w:t>
      </w:r>
    </w:p>
    <w:p>
      <w:pPr>
        <w:spacing w:after="120" w:before="0" w:line="300" w:lineRule="auto"/>
        <w:ind w:left="720" w:hanging="720"/>
        <w:jc w:val="both"/>
      </w:pPr>
      <w:r>
        <w:rPr>
          <w:rFonts w:ascii="Arial" w:cs="Arial" w:eastAsia="Arial" w:hAnsi="Arial"/>
          <w:sz w:val="21"/>
          <w:szCs w:val="21"/>
        </w:rPr>
        <w:t xml:space="preserve">Tononi, G. (2004). An information integration theory of consciousness. BMC Neuroscience, 5(42).</w:t>
      </w:r>
    </w:p>
    <w:p>
      <w:pPr>
        <w:spacing w:after="120" w:before="0" w:line="300" w:lineRule="auto"/>
        <w:ind w:left="720" w:hanging="720"/>
        <w:jc w:val="both"/>
      </w:pPr>
      <w:r>
        <w:rPr>
          <w:rFonts w:ascii="Arial" w:cs="Arial" w:eastAsia="Arial" w:hAnsi="Arial"/>
          <w:sz w:val="21"/>
          <w:szCs w:val="21"/>
        </w:rPr>
        <w:t xml:space="preserve">Tononi, G. (2008). Consciousness as Integrated Information: a Provisional Manifesto. Biological Bulletin, 215(3), 216-242.</w:t>
      </w:r>
    </w:p>
    <w:p>
      <w:pPr>
        <w:spacing w:after="120" w:before="0" w:line="300" w:lineRule="auto"/>
        <w:ind w:left="720" w:hanging="720"/>
        <w:jc w:val="both"/>
      </w:pPr>
      <w:r>
        <w:rPr>
          <w:rFonts w:ascii="Arial" w:cs="Arial" w:eastAsia="Arial" w:hAnsi="Arial"/>
          <w:sz w:val="21"/>
          <w:szCs w:val="21"/>
        </w:rPr>
        <w:t xml:space="preserve">Trevarthen, C. (1979). Communication and cooperation in early infancy. In M. Bullowa (ed.), Before Speech. Cambridge University Press, Cambridge.</w:t>
      </w:r>
    </w:p>
    <w:p>
      <w:pPr>
        <w:spacing w:after="120" w:before="0" w:line="300" w:lineRule="auto"/>
        <w:ind w:left="720" w:hanging="720"/>
        <w:jc w:val="both"/>
      </w:pPr>
      <w:r>
        <w:rPr>
          <w:rFonts w:ascii="Arial" w:cs="Arial" w:eastAsia="Arial" w:hAnsi="Arial"/>
          <w:sz w:val="21"/>
          <w:szCs w:val="21"/>
        </w:rPr>
        <w:t xml:space="preserve">van der Kolk, B. A. (2014). The Body Keeps the Score. Viking, New York.</w:t>
      </w:r>
    </w:p>
    <w:p>
      <w:pPr>
        <w:spacing w:after="120" w:before="0" w:line="300" w:lineRule="auto"/>
        <w:ind w:left="720" w:hanging="720"/>
        <w:jc w:val="both"/>
      </w:pPr>
      <w:r>
        <w:rPr>
          <w:rFonts w:ascii="Arial" w:cs="Arial" w:eastAsia="Arial" w:hAnsi="Arial"/>
          <w:sz w:val="21"/>
          <w:szCs w:val="21"/>
        </w:rPr>
        <w:t xml:space="preserve">Varela, F. J., Thompson, E., and Rosch, E. (1991). The Embodied Mind. MIT Press, Cambridge, MA.</w:t>
      </w:r>
    </w:p>
    <w:p>
      <w:pPr>
        <w:spacing w:after="120" w:before="0" w:line="300" w:lineRule="auto"/>
        <w:ind w:left="720" w:hanging="720"/>
        <w:jc w:val="both"/>
      </w:pPr>
      <w:r>
        <w:rPr>
          <w:rFonts w:ascii="Arial" w:cs="Arial" w:eastAsia="Arial" w:hAnsi="Arial"/>
          <w:sz w:val="21"/>
          <w:szCs w:val="21"/>
        </w:rPr>
        <w:t xml:space="preserve">von Neumann, J. (1932 / 1955). Mathematical Foundations of Quantum Mechanics. Translated by R. T. Beyer. Princeton University Press, Princeton.</w:t>
      </w:r>
    </w:p>
    <w:p>
      <w:pPr>
        <w:spacing w:after="120" w:before="0" w:line="300" w:lineRule="auto"/>
        <w:ind w:left="720" w:hanging="720"/>
        <w:jc w:val="both"/>
      </w:pPr>
      <w:r>
        <w:rPr>
          <w:rFonts w:ascii="Arial" w:cs="Arial" w:eastAsia="Arial" w:hAnsi="Arial"/>
          <w:sz w:val="21"/>
          <w:szCs w:val="21"/>
        </w:rPr>
        <w:t xml:space="preserve">Walker, S. I. and Davies, P. C. W. (2013). The algorithmic origins of life. Journal of the Royal Society Interface, 10(79), 20120869.</w:t>
      </w:r>
    </w:p>
    <w:p>
      <w:pPr>
        <w:spacing w:after="120" w:before="0" w:line="300" w:lineRule="auto"/>
        <w:ind w:left="720" w:hanging="720"/>
        <w:jc w:val="both"/>
      </w:pPr>
      <w:r>
        <w:rPr>
          <w:rFonts w:ascii="Arial" w:cs="Arial" w:eastAsia="Arial" w:hAnsi="Arial"/>
          <w:sz w:val="21"/>
          <w:szCs w:val="21"/>
        </w:rPr>
        <w:t xml:space="preserve">Wigner, E. P. (1961). Remarks on the Mind-Body Question. In I. J. Good (ed.), The Scientist Speculates. Heinemann, London.</w:t>
      </w:r>
    </w:p>
    <w:p>
      <w:pPr>
        <w:spacing w:after="120" w:before="0" w:line="300" w:lineRule="auto"/>
        <w:ind w:left="720" w:hanging="720"/>
        <w:jc w:val="both"/>
      </w:pPr>
      <w:r>
        <w:rPr>
          <w:rFonts w:ascii="Arial" w:cs="Arial" w:eastAsia="Arial" w:hAnsi="Arial"/>
          <w:sz w:val="21"/>
          <w:szCs w:val="21"/>
        </w:rPr>
        <w:t xml:space="preserve">Winnicott, D. W. (1960). Ego Distortion in Terms of True and False Self. In The Maturational Processes and the Facilitating Environment. International Universities Press, New York.</w:t>
      </w:r>
    </w:p>
    <w:p>
      <w:pPr>
        <w:spacing w:after="120" w:before="0" w:line="300" w:lineRule="auto"/>
        <w:ind w:left="720" w:hanging="720"/>
        <w:jc w:val="both"/>
      </w:pPr>
      <w:r>
        <w:rPr>
          <w:rFonts w:ascii="Arial" w:cs="Arial" w:eastAsia="Arial" w:hAnsi="Arial"/>
          <w:sz w:val="21"/>
          <w:szCs w:val="21"/>
        </w:rPr>
        <w:t xml:space="preserve">Wittgenstein, L. (1921 / 1961). Tractatus Logico-Philosophicus. Translated by D. F. Pears and B. F. McGuinness. Routledge, London.</w:t>
      </w:r>
    </w:p>
    <w:p>
      <w:pPr>
        <w:spacing w:after="120" w:before="0" w:line="300" w:lineRule="auto"/>
        <w:ind w:left="720" w:hanging="720"/>
        <w:jc w:val="both"/>
      </w:pPr>
      <w:r>
        <w:rPr>
          <w:rFonts w:ascii="Arial" w:cs="Arial" w:eastAsia="Arial" w:hAnsi="Arial"/>
          <w:sz w:val="21"/>
          <w:szCs w:val="21"/>
        </w:rPr>
        <w:t xml:space="preserve">Wittgenstein, L. (1953). Philosophical Investigations. Translated by G. E. M. Anscombe. Blackwell, Oxford.</w:t>
      </w:r>
    </w:p>
    <w:p>
      <w:pPr>
        <w:spacing w:after="120" w:before="0" w:line="300" w:lineRule="auto"/>
        <w:ind w:left="720" w:hanging="720"/>
        <w:jc w:val="both"/>
      </w:pPr>
      <w:r>
        <w:rPr>
          <w:rFonts w:ascii="Arial" w:cs="Arial" w:eastAsia="Arial" w:hAnsi="Arial"/>
          <w:sz w:val="21"/>
          <w:szCs w:val="21"/>
        </w:rPr>
        <w:t xml:space="preserve">Wolff, R. P. (1970). In Defense of Anarchism. Harper and Row, New York.</w:t>
      </w:r>
    </w:p>
    <w:p>
      <w:pPr>
        <w:spacing w:after="100" w:before="0"/>
      </w:pPr>
      <w:r>
        <w:rPr>
          <w:sz w:val="24"/>
          <w:szCs w:val="24"/>
        </w:rPr>
        <w:t xml:space="preserve"/>
      </w:r>
    </w:p>
    <w:p>
      <w:pPr>
        <w:pBdr>
          <w:bottom w:val="single" w:color="CCCCCC" w:sz="4" w:space="1"/>
        </w:pBdr>
        <w:spacing w:after="240" w:before="240"/>
      </w:pPr>
      <w:r>
        <w:rPr>
          <w:sz w:val="8"/>
          <w:szCs w:val="8"/>
        </w:rPr>
        <w:t xml:space="preserve"/>
      </w:r>
    </w:p>
    <w:p>
      <w:pPr>
        <w:spacing w:after="100" w:before="0"/>
      </w:pPr>
      <w:r>
        <w:rPr>
          <w:sz w:val="24"/>
          <w:szCs w:val="24"/>
        </w:rPr>
        <w:t xml:space="preserve"/>
      </w:r>
    </w:p>
    <w:p>
      <w:pPr>
        <w:spacing w:after="200" w:before="200"/>
        <w:jc w:val="center"/>
      </w:pPr>
      <w:r>
        <w:rPr>
          <w:rFonts w:ascii="Arial" w:cs="Arial" w:eastAsia="Arial" w:hAnsi="Arial"/>
          <w:color w:val="888888"/>
          <w:sz w:val="22"/>
          <w:szCs w:val="22"/>
        </w:rPr>
        <w:t xml:space="preserve">✦</w:t>
      </w:r>
    </w:p>
    <w:p>
      <w:pPr>
        <w:spacing w:after="60" w:before="0"/>
        <w:jc w:val="center"/>
      </w:pPr>
      <w:r>
        <w:rPr>
          <w:rFonts w:ascii="Arial" w:cs="Arial" w:eastAsia="Arial" w:hAnsi="Arial"/>
          <w:i/>
          <w:iCs/>
          <w:color w:val="666666"/>
          <w:sz w:val="20"/>
          <w:szCs w:val="20"/>
        </w:rPr>
        <w:t xml:space="preserve">Filosofia das Virtudes  ·  Jose Caetano de Mattos</w:t>
      </w:r>
    </w:p>
    <w:p>
      <w:pPr>
        <w:spacing w:after="100" w:before="0"/>
        <w:jc w:val="center"/>
      </w:pPr>
      <w:r>
        <w:rPr>
          <w:rFonts w:ascii="Arial" w:cs="Arial" w:eastAsia="Arial" w:hAnsi="Arial"/>
          <w:color w:val="999999"/>
          <w:sz w:val="18"/>
          <w:szCs w:val="18"/>
        </w:rPr>
        <w:t xml:space="preserve">Rio de Janeiro, 2023  ·  Merano,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1"/>
      </w:pBdr>
      <w:jc w:val="center"/>
    </w:pPr>
    <w:r>
      <w:rPr>
        <w:rFonts w:ascii="Arial" w:cs="Arial" w:eastAsia="Arial" w:hAnsi="Arial"/>
        <w:color w:val="AAAAAA"/>
        <w:sz w:val="18"/>
        <w:szCs w:val="18"/>
      </w:rPr>
      <w:t xml:space="preserve">— </w:t>
    </w:r>
    <w:r>
      <w:rPr>
        <w:rFonts w:ascii="Arial" w:cs="Arial" w:eastAsia="Arial" w:hAnsi="Arial"/>
        <w:color w:val="AAAAAA"/>
        <w:sz w:val="18"/>
        <w:szCs w:val="18"/>
      </w:rPr>
      <w:fldChar w:fldCharType="begin"/>
      <w:instrText xml:space="preserve">PAGE</w:instrText>
      <w:fldChar w:fldCharType="separate"/>
      <w:fldChar w:fldCharType="end"/>
    </w:r>
    <w:r>
      <w:rPr>
        <w:rFonts w:ascii="Arial" w:cs="Arial" w:eastAsia="Arial" w:hAnsi="Arial"/>
        <w:color w:val="AAAAA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space="1"/>
      </w:pBdr>
      <w:jc w:val="right"/>
    </w:pPr>
    <w:r>
      <w:rPr>
        <w:rFonts w:ascii="Arial" w:cs="Arial" w:eastAsia="Arial" w:hAnsi="Arial"/>
        <w:i/>
        <w:iCs/>
        <w:color w:val="999999"/>
        <w:sz w:val="18"/>
        <w:szCs w:val="18"/>
      </w:rPr>
      <w:t xml:space="preserve">Absolute Self-Origination — Mattos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11111"/>
      <w:sz w:val="30"/>
      <w:szCs w:val="30"/>
    </w:rPr>
  </w:style>
  <w:style w:type="paragraph" w:styleId="Heading2">
    <w:name w:val="Heading 2"/>
    <w:basedOn w:val="Normal"/>
    <w:next w:val="Normal"/>
    <w:qFormat/>
    <w:pPr>
      <w:spacing w:after="140" w:before="320"/>
      <w:outlineLvl w:val="1"/>
    </w:pPr>
    <w:rPr>
      <w:rFonts w:ascii="Arial" w:cs="Arial" w:eastAsia="Arial" w:hAnsi="Arial"/>
      <w:b/>
      <w:bCs/>
      <w:color w:val="222222"/>
      <w:sz w:val="24"/>
      <w:szCs w:val="24"/>
    </w:rPr>
  </w:style>
  <w:style w:type="paragraph" w:styleId="Heading3">
    <w:name w:val="Heading 3"/>
    <w:basedOn w:val="Normal"/>
    <w:next w:val="Normal"/>
    <w:qFormat/>
    <w:pPr>
      <w:spacing w:after="100" w:before="240"/>
      <w:outlineLvl w:val="2"/>
    </w:pPr>
    <w:rPr>
      <w:rFonts w:ascii="Arial" w:cs="Arial" w:eastAsia="Arial" w:hAnsi="Arial"/>
      <w:b/>
      <w:bCs/>
      <w:i/>
      <w:i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2026-05-10T15:18:56.373Z</dcterms:created>
  <dcterms:modified xsi:type="dcterms:W3CDTF">2026-05-10T15:18:56.393Z</dcterms:modified>
</cp:coreProperties>
</file>

<file path=docProps/custom.xml><?xml version="1.0" encoding="utf-8"?>
<Properties xmlns="http://schemas.openxmlformats.org/officeDocument/2006/custom-properties" xmlns:vt="http://schemas.openxmlformats.org/officeDocument/2006/docPropsVTypes"/>
</file>