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pPr>
      <w:r>
        <w:rPr>
          <w:sz w:val="24"/>
          <w:szCs w:val="24"/>
        </w:rPr>
        <w:t xml:space="preserve"/>
      </w:r>
    </w:p>
    <w:p>
      <w:pPr>
        <w:spacing w:after="100" w:before="0"/>
      </w:pPr>
      <w:r>
        <w:rPr>
          <w:sz w:val="24"/>
          <w:szCs w:val="24"/>
        </w:rPr>
        <w:t xml:space="preserve"/>
      </w:r>
    </w:p>
    <w:p>
      <w:pPr>
        <w:spacing w:after="100" w:before="0"/>
      </w:pPr>
      <w:r>
        <w:rPr>
          <w:sz w:val="24"/>
          <w:szCs w:val="24"/>
        </w:rPr>
        <w:t xml:space="preserve"/>
      </w:r>
    </w:p>
    <w:p>
      <w:pPr>
        <w:spacing w:after="60" w:before="480"/>
        <w:jc w:val="center"/>
      </w:pPr>
      <w:r>
        <w:rPr>
          <w:rFonts w:ascii="Arial" w:cs="Arial" w:eastAsia="Arial" w:hAnsi="Arial"/>
          <w:b/>
          <w:bCs/>
          <w:color w:val="111111"/>
          <w:sz w:val="42"/>
          <w:szCs w:val="42"/>
        </w:rPr>
        <w:t xml:space="preserve">FROM PHILOSOPHY TO TESTABLE HYPOTHESIS</w:t>
      </w:r>
    </w:p>
    <w:p>
      <w:pPr>
        <w:spacing w:after="40" w:before="0"/>
        <w:jc w:val="center"/>
      </w:pPr>
      <w:r>
        <w:rPr>
          <w:rFonts w:ascii="Arial" w:cs="Arial" w:eastAsia="Arial" w:hAnsi="Arial"/>
          <w:i/>
          <w:iCs/>
          <w:sz w:val="26"/>
          <w:szCs w:val="26"/>
        </w:rPr>
        <w:t xml:space="preserve">A Research Proposal Derived from the Theory of</w:t>
      </w:r>
    </w:p>
    <w:p>
      <w:pPr>
        <w:spacing w:after="360" w:before="0"/>
        <w:jc w:val="center"/>
      </w:pPr>
      <w:r>
        <w:rPr>
          <w:rFonts w:ascii="Arial" w:cs="Arial" w:eastAsia="Arial" w:hAnsi="Arial"/>
          <w:i/>
          <w:iCs/>
          <w:sz w:val="26"/>
          <w:szCs w:val="26"/>
        </w:rPr>
        <w:t xml:space="preserve">Absolute Self-Origination (ASO)</w:t>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spacing w:after="60" w:before="0"/>
        <w:jc w:val="center"/>
      </w:pPr>
      <w:r>
        <w:rPr>
          <w:rFonts w:ascii="Arial" w:cs="Arial" w:eastAsia="Arial" w:hAnsi="Arial"/>
          <w:b/>
          <w:bCs/>
          <w:sz w:val="26"/>
          <w:szCs w:val="26"/>
        </w:rPr>
        <w:t xml:space="preserve">José Caetano de Mattos</w:t>
      </w:r>
    </w:p>
    <w:p>
      <w:pPr>
        <w:spacing w:after="60" w:before="0"/>
        <w:jc w:val="center"/>
      </w:pPr>
      <w:r>
        <w:rPr>
          <w:rFonts w:ascii="Arial" w:cs="Arial" w:eastAsia="Arial" w:hAnsi="Arial"/>
          <w:i/>
          <w:iCs/>
          <w:color w:val="555555"/>
          <w:sz w:val="22"/>
          <w:szCs w:val="22"/>
        </w:rPr>
        <w:t xml:space="preserve">Filosofia das Virtudes</w:t>
      </w:r>
    </w:p>
    <w:p>
      <w:pPr>
        <w:spacing w:after="480" w:before="0"/>
        <w:jc w:val="center"/>
      </w:pPr>
      <w:r>
        <w:rPr>
          <w:rFonts w:ascii="Arial" w:cs="Arial" w:eastAsia="Arial" w:hAnsi="Arial"/>
          <w:color w:val="888888"/>
          <w:sz w:val="20"/>
          <w:szCs w:val="20"/>
        </w:rPr>
        <w:t xml:space="preserve">Merano · 2026</w:t>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spacing w:after="120" w:before="200"/>
        <w:jc w:val="center"/>
      </w:pPr>
      <w:r>
        <w:rPr>
          <w:rFonts w:ascii="Arial" w:cs="Arial" w:eastAsia="Arial" w:hAnsi="Arial"/>
          <w:b/>
          <w:bCs/>
          <w:sz w:val="24"/>
          <w:szCs w:val="24"/>
        </w:rPr>
        <w:t xml:space="preserve">Preamble</w:t>
      </w:r>
    </w:p>
    <w:p>
      <w:pPr>
        <w:spacing w:after="180" w:before="0" w:line="320" w:lineRule="auto"/>
        <w:ind w:left="720" w:right="720"/>
        <w:jc w:val="both"/>
      </w:pPr>
      <w:r>
        <w:rPr>
          <w:rFonts w:ascii="Arial" w:cs="Arial" w:eastAsia="Arial" w:hAnsi="Arial"/>
          <w:sz w:val="22"/>
          <w:szCs w:val="22"/>
        </w:rPr>
        <w:t xml:space="preserve">This document is a research proposal, not a report of findings. It derives from the philosophical framework of Absolute Self-Origination (ASO) three specific, empirically testable predictions and proposes study designs for each. The framework is a philosophical argument, not an established scientific theory. The predictions below are genuine implications of that argument — places where it makes contact with phenomena that can be measured. A research proposal of this kind has two legitimate purposes: it can be used to design studies that test whether the philosophical argument has empirical traction, and it can serve as an honest account of what the philosophical framework does and does not imply for empirical inquiry. Neither purpose requires overstating what the framework has established. The predictions are modest. The studies proposed are feasible. The expected contribution, if the predictions are confirmed, would be evidence of plausibility for the philosophical framework — not proof of it.</w:t>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pStyle w:val="Heading1"/>
        <w:spacing w:after="180" w:before="440"/>
      </w:pPr>
      <w:r>
        <w:rPr>
          <w:rFonts w:ascii="Arial" w:cs="Arial" w:eastAsia="Arial" w:hAnsi="Arial"/>
          <w:b/>
          <w:bCs/>
          <w:color w:val="111111"/>
          <w:sz w:val="30"/>
          <w:szCs w:val="30"/>
        </w:rPr>
        <w:t xml:space="preserve">I. Background: The Framework and Its Empirical Interface</w:t>
      </w:r>
    </w:p>
    <w:p>
      <w:pPr>
        <w:pStyle w:val="Heading2"/>
        <w:spacing w:after="120" w:before="300"/>
      </w:pPr>
      <w:r>
        <w:rPr>
          <w:rFonts w:ascii="Arial" w:cs="Arial" w:eastAsia="Arial" w:hAnsi="Arial"/>
          <w:b/>
          <w:bCs/>
          <w:color w:val="222222"/>
          <w:sz w:val="25"/>
          <w:szCs w:val="25"/>
        </w:rPr>
        <w:t xml:space="preserve">1.1 The Core Philosophical Claim</w:t>
      </w:r>
    </w:p>
    <w:p>
      <w:pPr>
        <w:spacing w:after="160" w:before="0" w:line="360" w:lineRule="auto"/>
        <w:ind w:firstLine="720"/>
        <w:jc w:val="both"/>
      </w:pPr>
      <w:r>
        <w:rPr>
          <w:rFonts w:ascii="Arial" w:cs="Arial" w:eastAsia="Arial" w:hAnsi="Arial"/>
          <w:sz w:val="24"/>
          <w:szCs w:val="24"/>
        </w:rPr>
        <w:t xml:space="preserve">The ASO framework (Mattos, 2026) proposes that consciousness, life, and freedom share a common deep structure: a self-referential process that constitutes its own ground, formally characterised as the fixed point O(O) = O. The framework distinguishes three levels of self-referential depth. Omega-zero: orientation toward external states (basic homeostasis, chemotaxis). Omega-one: orientation toward one's own states (self-modelling). Omega-two: orientation toward one's own orientational process — the self-referential loop closes. The philosophical claim is that phenomenological presence — the having of experience — is associated with the Omega-two level.</w:t>
      </w:r>
    </w:p>
    <w:p>
      <w:pPr>
        <w:spacing w:after="160" w:before="0" w:line="360" w:lineRule="auto"/>
        <w:ind w:firstLine="720"/>
        <w:jc w:val="both"/>
      </w:pPr>
      <w:r>
        <w:rPr>
          <w:rFonts w:ascii="Arial" w:cs="Arial" w:eastAsia="Arial" w:hAnsi="Arial"/>
          <w:sz w:val="24"/>
          <w:szCs w:val="24"/>
        </w:rPr>
        <w:t xml:space="preserve">This is a philosophical thesis about the structure of consciousness, not a physical or neurological theory. As such, it does not directly generate empirical predictions. But it has implications that do generate predictions when combined with bridging assumptions about the neural realisation of self-referential processes. The predictions in this proposal are consequences of those combinations, not of the philosophical thesis alone. That distinction matters: confirming a prediction would support the bridging assumption as well as the philosophical thesis, and the two should be disentangled in any eventual interpretation.</w:t>
      </w:r>
    </w:p>
    <w:p>
      <w:pPr>
        <w:pStyle w:val="Heading2"/>
        <w:spacing w:after="120" w:before="300"/>
      </w:pPr>
      <w:r>
        <w:rPr>
          <w:rFonts w:ascii="Arial" w:cs="Arial" w:eastAsia="Arial" w:hAnsi="Arial"/>
          <w:b/>
          <w:bCs/>
          <w:color w:val="222222"/>
          <w:sz w:val="25"/>
          <w:szCs w:val="25"/>
        </w:rPr>
        <w:t xml:space="preserve">1.2 What the Framework Predicts and What It Does Not</w:t>
      </w:r>
    </w:p>
    <w:p>
      <w:pPr>
        <w:spacing w:after="160" w:before="0" w:line="360" w:lineRule="auto"/>
        <w:ind w:firstLine="720"/>
        <w:jc w:val="both"/>
      </w:pPr>
      <w:r>
        <w:rPr>
          <w:rFonts w:ascii="Arial" w:cs="Arial" w:eastAsia="Arial" w:hAnsi="Arial"/>
          <w:sz w:val="24"/>
          <w:szCs w:val="24"/>
        </w:rPr>
        <w:t xml:space="preserve">The framework makes claims about the formal structure of consciousness. It does not make claims about the specific neural mechanisms by which that structure is instantiated. This means:</w:t>
      </w:r>
    </w:p>
    <w:p>
      <w:pPr>
        <w:spacing w:after="160" w:before="0" w:line="360" w:lineRule="auto"/>
        <w:ind w:firstLine="720"/>
        <w:jc w:val="both"/>
      </w:pPr>
      <w:r>
        <w:rPr>
          <w:rFonts w:ascii="Arial" w:cs="Arial" w:eastAsia="Arial" w:hAnsi="Arial"/>
          <w:sz w:val="24"/>
          <w:szCs w:val="24"/>
        </w:rPr>
        <w:t xml:space="preserve">What the framework predicts: that measures sensitive to second-order self-referential processing will track conscious presence better than measures sensitive to first-order processing or information integration alone; that the stability of self-referential processing will correlate with the robustness of experiential unity; that conditions suppressing self-determination will reduce self-referential processing depth independently of reported wellbeing.</w:t>
      </w:r>
    </w:p>
    <w:p>
      <w:pPr>
        <w:spacing w:after="160" w:before="0" w:line="360" w:lineRule="auto"/>
        <w:ind w:firstLine="720"/>
        <w:jc w:val="both"/>
      </w:pPr>
      <w:r>
        <w:rPr>
          <w:rFonts w:ascii="Arial" w:cs="Arial" w:eastAsia="Arial" w:hAnsi="Arial"/>
          <w:sz w:val="24"/>
          <w:szCs w:val="24"/>
        </w:rPr>
        <w:t xml:space="preserve">What the framework does not predict: the specific neural circuits involved; whether the predictions hold across all species or only in humans; the exact quantitative relations between processing depth and phenomenological richness; anything about the subjective character (qualia) of experience beyond its presence or absence.</w:t>
      </w:r>
    </w:p>
    <w:p>
      <w:pPr>
        <w:spacing w:after="160" w:before="0" w:line="360" w:lineRule="auto"/>
        <w:ind w:firstLine="720"/>
        <w:jc w:val="both"/>
      </w:pPr>
      <w:r>
        <w:rPr>
          <w:rFonts w:ascii="Arial" w:cs="Arial" w:eastAsia="Arial" w:hAnsi="Arial"/>
          <w:sz w:val="24"/>
          <w:szCs w:val="24"/>
        </w:rPr>
        <w:t xml:space="preserve">Several alternative frameworks — Integrated Information Theory (Tononi, 2004), Recurrent Processing Theory (Lamme, 2006), Global Workspace Theory (Baars, 1988; Dehaene, 2014), Higher-Order Theories (Rosenthal, 2005) — make predictions that overlap with some of those derived here. Where they overlap, confirming the prediction does not uniquely support the ASO framework. The proposals below are designed, where possible, to identify conditions where the ASO framework's predictions diverge from alternatives.</w:t>
      </w:r>
    </w:p>
    <w:p>
      <w:pPr>
        <w:pStyle w:val="Heading2"/>
        <w:spacing w:after="120" w:before="300"/>
      </w:pPr>
      <w:r>
        <w:rPr>
          <w:rFonts w:ascii="Arial" w:cs="Arial" w:eastAsia="Arial" w:hAnsi="Arial"/>
          <w:b/>
          <w:bCs/>
          <w:color w:val="222222"/>
          <w:sz w:val="25"/>
          <w:szCs w:val="25"/>
        </w:rPr>
        <w:t xml:space="preserve">1.3 The Relevant Existing Evidence</w:t>
      </w:r>
    </w:p>
    <w:p>
      <w:pPr>
        <w:spacing w:after="160" w:before="0" w:line="360" w:lineRule="auto"/>
        <w:ind w:firstLine="720"/>
        <w:jc w:val="both"/>
      </w:pPr>
      <w:r>
        <w:rPr>
          <w:rFonts w:ascii="Arial" w:cs="Arial" w:eastAsia="Arial" w:hAnsi="Arial"/>
          <w:sz w:val="24"/>
          <w:szCs w:val="24"/>
        </w:rPr>
        <w:t xml:space="preserve">Several bodies of existing evidence are consistent with the framework's predictions. This section notes them honestly, without claiming they constitute confirmation.</w:t>
      </w:r>
    </w:p>
    <w:p>
      <w:pPr>
        <w:spacing w:after="160" w:before="0" w:line="360" w:lineRule="auto"/>
        <w:ind w:firstLine="720"/>
        <w:jc w:val="both"/>
      </w:pPr>
      <w:r>
        <w:rPr>
          <w:rFonts w:ascii="Arial" w:cs="Arial" w:eastAsia="Arial" w:hAnsi="Arial"/>
          <w:sz w:val="24"/>
          <w:szCs w:val="24"/>
        </w:rPr>
        <w:t xml:space="preserve">Recurrent processing and consciousness: Lamme (2006) reviews evidence that recurrent neural processing — signals that fold back on earlier processing stages — is necessary for conscious experience, while feedforward processing is sufficient for sophisticated unconscious processing. This is consistent with the Omega-two criterion but not uniquely predicted by it: it is also predicted by Recurrent Processing Theory directly.</w:t>
      </w:r>
    </w:p>
    <w:p>
      <w:pPr>
        <w:spacing w:after="160" w:before="0" w:line="360" w:lineRule="auto"/>
        <w:ind w:firstLine="720"/>
        <w:jc w:val="both"/>
      </w:pPr>
      <w:r>
        <w:rPr>
          <w:rFonts w:ascii="Arial" w:cs="Arial" w:eastAsia="Arial" w:hAnsi="Arial"/>
          <w:sz w:val="24"/>
          <w:szCs w:val="24"/>
        </w:rPr>
        <w:t xml:space="preserve">Perturbational Complexity Index: Casali et al. (2013) developed PCI, a measure of the complexity of brain responses to perturbation, and showed it reliably distinguishes conscious from unconscious states across waking, sleep, anaesthesia, and disorders of consciousness. PCI measures the brain's capacity to generate differentiated self-referential responses. Its success is consistent with the Omega-two criterion but is equally well explained by Tononi's IIT (Tononi et al., 2016) and by Dehaene's Global Workspace account.</w:t>
      </w:r>
    </w:p>
    <w:p>
      <w:pPr>
        <w:spacing w:after="160" w:before="0" w:line="360" w:lineRule="auto"/>
        <w:ind w:firstLine="720"/>
        <w:jc w:val="both"/>
      </w:pPr>
      <w:r>
        <w:rPr>
          <w:rFonts w:ascii="Arial" w:cs="Arial" w:eastAsia="Arial" w:hAnsi="Arial"/>
          <w:sz w:val="24"/>
          <w:szCs w:val="24"/>
        </w:rPr>
        <w:t xml:space="preserve">Self-Determination Theory: Deci and Ryan (1985, 2000) demonstrate that autonomy — the experience of acting from one's own values — is a fundamental psychological need whose thwarting produces not merely unhappiness but reduced vitality, coherence, and engagement. This is consistent with the FCIT's prediction that freedom and consciousness share a formal structure, but SDT does not require this interpretation.</w:t>
      </w:r>
    </w:p>
    <w:p>
      <w:pPr>
        <w:spacing w:after="160" w:before="0" w:line="360" w:lineRule="auto"/>
        <w:ind w:firstLine="720"/>
        <w:jc w:val="both"/>
      </w:pPr>
      <w:r>
        <w:rPr>
          <w:rFonts w:ascii="Arial" w:cs="Arial" w:eastAsia="Arial" w:hAnsi="Arial"/>
          <w:sz w:val="24"/>
          <w:szCs w:val="24"/>
        </w:rPr>
        <w:t xml:space="preserve">The honest summary: the existing evidence is consistent with the framework but does not distinguish it from alternatives. The studies proposed below are designed to address this by identifying conditions where the predictions diverge.</w:t>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pStyle w:val="Heading1"/>
        <w:spacing w:after="180" w:before="440"/>
      </w:pPr>
      <w:r>
        <w:rPr>
          <w:rFonts w:ascii="Arial" w:cs="Arial" w:eastAsia="Arial" w:hAnsi="Arial"/>
          <w:b/>
          <w:bCs/>
          <w:color w:val="111111"/>
          <w:sz w:val="30"/>
          <w:szCs w:val="30"/>
        </w:rPr>
        <w:t xml:space="preserve">II. Three Testable Predictions</w:t>
      </w:r>
    </w:p>
    <w:p>
      <w:pPr>
        <w:pStyle w:val="Heading2"/>
        <w:spacing w:after="120" w:before="300"/>
      </w:pPr>
      <w:r>
        <w:rPr>
          <w:rFonts w:ascii="Arial" w:cs="Arial" w:eastAsia="Arial" w:hAnsi="Arial"/>
          <w:b/>
          <w:bCs/>
          <w:color w:val="222222"/>
          <w:sz w:val="25"/>
          <w:szCs w:val="25"/>
        </w:rPr>
        <w:t xml:space="preserve">Prediction 1: Second-Order Self-Reference as the Critical Variable</w:t>
      </w:r>
    </w:p>
    <w:p>
      <w:pPr>
        <w:pBdr>
          <w:top w:val="single" w:color="333333" w:sz="6" w:space="6"/>
          <w:left w:val="thick" w:color="333333" w:sz="12" w:space="8"/>
          <w:bottom w:val="single" w:color="333333" w:sz="6" w:space="6"/>
          <w:right w:val="single" w:color="333333" w:sz="6" w:space="6"/>
        </w:pBdr>
        <w:spacing w:after="160" w:before="160" w:line="340" w:lineRule="auto"/>
        <w:ind w:left="400" w:right="400"/>
        <w:jc w:val="both"/>
      </w:pPr>
      <w:r>
        <w:rPr>
          <w:rFonts w:ascii="Arial" w:cs="Arial" w:eastAsia="Arial" w:hAnsi="Arial"/>
          <w:b/>
          <w:bCs/>
          <w:sz w:val="23"/>
          <w:szCs w:val="23"/>
        </w:rPr>
        <w:t xml:space="preserve">Prediction 1: </w:t>
      </w:r>
      <w:r>
        <w:rPr>
          <w:rFonts w:ascii="Arial" w:cs="Arial" w:eastAsia="Arial" w:hAnsi="Arial"/>
          <w:sz w:val="23"/>
          <w:szCs w:val="23"/>
        </w:rPr>
        <w:t xml:space="preserve">In conditions where second-order self-referential processing (the system's processing of its own processing) and information integration (IIT's Phi or analogues) dissociate, second-order self-referential depth will better predict the presence and degree of conscious experience than information integration measures alone.</w:t>
      </w:r>
    </w:p>
    <w:p>
      <w:pPr>
        <w:spacing w:after="100" w:before="0"/>
      </w:pPr>
      <w:r>
        <w:rPr>
          <w:sz w:val="24"/>
          <w:szCs w:val="24"/>
        </w:rPr>
        <w:t xml:space="preserve"/>
      </w:r>
    </w:p>
    <w:p>
      <w:pPr>
        <w:pStyle w:val="Heading3"/>
        <w:spacing w:after="100" w:before="220"/>
      </w:pPr>
      <w:r>
        <w:rPr>
          <w:rFonts w:ascii="Arial" w:cs="Arial" w:eastAsia="Arial" w:hAnsi="Arial"/>
          <w:b/>
          <w:bCs/>
          <w:i/>
          <w:iCs/>
          <w:color w:val="333333"/>
          <w:sz w:val="24"/>
          <w:szCs w:val="24"/>
        </w:rPr>
        <w:t xml:space="preserve">2.1.1 Rationale</w:t>
      </w:r>
    </w:p>
    <w:p>
      <w:pPr>
        <w:spacing w:after="160" w:before="0" w:line="360" w:lineRule="auto"/>
        <w:ind w:firstLine="720"/>
        <w:jc w:val="both"/>
      </w:pPr>
      <w:r>
        <w:rPr>
          <w:rFonts w:ascii="Arial" w:cs="Arial" w:eastAsia="Arial" w:hAnsi="Arial"/>
          <w:sz w:val="24"/>
          <w:szCs w:val="24"/>
        </w:rPr>
        <w:t xml:space="preserve">The ASO framework holds that the relevant criterion for consciousness is Omega-two: the closure of the self-referential loop, in which the orientational process includes its own orientational process as a stable object. IIT holds that the relevant criterion is integrated information (Phi): the degree to which a system's parts inform each other irreducibly. These criteria are often co-present — highly integrated systems tend also to be deeply self-referential — but they can dissociate. The prediction is that when they dissociate, self-referential depth is the better predictor.</w:t>
      </w:r>
    </w:p>
    <w:p>
      <w:pPr>
        <w:spacing w:after="160" w:before="0" w:line="360" w:lineRule="auto"/>
        <w:ind w:firstLine="720"/>
        <w:jc w:val="both"/>
      </w:pPr>
      <w:r>
        <w:rPr>
          <w:rFonts w:ascii="Arial" w:cs="Arial" w:eastAsia="Arial" w:hAnsi="Arial"/>
          <w:sz w:val="24"/>
          <w:szCs w:val="24"/>
        </w:rPr>
        <w:t xml:space="preserve">Recurrent Processing Theory (RPT) predicts the same direction as ASO on this question: recurrent processing is necessary for consciousness, and feedforward processing is not sufficient. The distinction between ASO and RPT at this level of analysis is subtle: RPT treats recurrence as a neural mechanism, while ASO treats second-order self-reference as a formal structure of which recurrence is the neural instantiation. For the purposes of Study 1, the predictions of ASO and RPT are not distinguishable. The study would provide evidence for both against IIT in dissociation conditions.</w:t>
      </w:r>
    </w:p>
    <w:p>
      <w:pPr>
        <w:pStyle w:val="Heading3"/>
        <w:spacing w:after="100" w:before="220"/>
      </w:pPr>
      <w:r>
        <w:rPr>
          <w:rFonts w:ascii="Arial" w:cs="Arial" w:eastAsia="Arial" w:hAnsi="Arial"/>
          <w:b/>
          <w:bCs/>
          <w:i/>
          <w:iCs/>
          <w:color w:val="333333"/>
          <w:sz w:val="24"/>
          <w:szCs w:val="24"/>
        </w:rPr>
        <w:t xml:space="preserve">2.1.2 Proposed Study Design</w:t>
      </w:r>
    </w:p>
    <w:p>
      <w:pPr>
        <w:spacing w:after="160" w:before="0" w:line="360" w:lineRule="auto"/>
        <w:ind w:firstLine="720"/>
        <w:jc w:val="both"/>
      </w:pPr>
      <w:r>
        <w:rPr>
          <w:rFonts w:ascii="Arial" w:cs="Arial" w:eastAsia="Arial" w:hAnsi="Arial"/>
          <w:b/>
          <w:bCs/>
          <w:sz w:val="24"/>
          <w:szCs w:val="24"/>
        </w:rPr>
        <w:t xml:space="preserve">Study type: </w:t>
      </w:r>
      <w:r>
        <w:rPr>
          <w:rFonts w:ascii="Arial" w:cs="Arial" w:eastAsia="Arial" w:hAnsi="Arial"/>
          <w:sz w:val="24"/>
          <w:szCs w:val="24"/>
        </w:rPr>
        <w:t xml:space="preserve">Systematic review and meta-analysis of existing dissociation cases, followed by a prospective pharmacological study.</w:t>
      </w:r>
    </w:p>
    <w:p>
      <w:pPr>
        <w:spacing w:after="160" w:before="0" w:line="360" w:lineRule="auto"/>
        <w:ind w:firstLine="720"/>
        <w:jc w:val="both"/>
      </w:pPr>
      <w:r>
        <w:rPr>
          <w:rFonts w:ascii="Arial" w:cs="Arial" w:eastAsia="Arial" w:hAnsi="Arial"/>
          <w:sz w:val="24"/>
          <w:szCs w:val="24"/>
        </w:rPr>
        <w:t xml:space="preserve">Phase 1 — Meta-analysis: Identify published cases in the anaesthesia and disorders-of-consciousness literature where measures of information integration (Phi or Phi-approximations) and measures of recurrent/self-referential processing depth (PCI, TMS-EEG complexity measures) dissociate — one is high while the other is low. Code each case for the direction of dissociation and for available behavioural indicators of conscious presence (command-following, sustained attention, cortical command signatures). Assess whether, in dissociation conditions, self-referential depth measures outperform integration measures in predicting conscious presence.</w:t>
      </w:r>
    </w:p>
    <w:p>
      <w:pPr>
        <w:spacing w:after="160" w:before="0" w:line="360" w:lineRule="auto"/>
        <w:ind w:firstLine="720"/>
        <w:jc w:val="both"/>
      </w:pPr>
      <w:r>
        <w:rPr>
          <w:rFonts w:ascii="Arial" w:cs="Arial" w:eastAsia="Arial" w:hAnsi="Arial"/>
          <w:sz w:val="24"/>
          <w:szCs w:val="24"/>
        </w:rPr>
        <w:t xml:space="preserve">Phase 2 — Prospective study: Administer agents that selectively affect recurrent versus feedforward processing at sub-anaesthetic doses in healthy volunteers. Ketamine at sub-dissociative doses partially disrupts recurrent cortical processing while preserving feedforward activity; propofol at sub-hypnotic doses has a different profile. Measure Phi approximations, PCI, and subjective experience reports across conditions. The prediction is that conditions with reduced recurrent processing but preserved integration will show greater reductions in conscious richness than conditions with equivalent integration but preserved recurrence.</w:t>
      </w:r>
    </w:p>
    <w:p>
      <w:pPr>
        <w:spacing w:after="160" w:before="0" w:line="360" w:lineRule="auto"/>
        <w:ind w:firstLine="720"/>
        <w:jc w:val="both"/>
      </w:pPr>
      <w:r>
        <w:rPr>
          <w:rFonts w:ascii="Arial" w:cs="Arial" w:eastAsia="Arial" w:hAnsi="Arial"/>
          <w:sz w:val="24"/>
          <w:szCs w:val="24"/>
        </w:rPr>
        <w:t xml:space="preserve">Sample: For the prospective study, healthy adult volunteers (estimated N = 40 per condition based on effect sizes from Massimini et al., 2005 and Sarasso et al., 2015). IRB approval required; standard pharmacological safety protocols apply.</w:t>
      </w:r>
    </w:p>
    <w:p>
      <w:pPr>
        <w:pBdr>
          <w:top w:val="single" w:color="AAAAAA" w:sz="4" w:space="4"/>
          <w:left w:val="single" w:color="AAAAAA" w:sz="4" w:space="4"/>
          <w:bottom w:val="single" w:color="AAAAAA" w:sz="4" w:space="4"/>
          <w:right w:val="single" w:color="AAAAAA" w:sz="4" w:space="4"/>
        </w:pBdr>
        <w:spacing w:after="140" w:before="100" w:line="300" w:lineRule="auto"/>
        <w:ind w:left="200" w:right="200"/>
        <w:jc w:val="both"/>
      </w:pPr>
      <w:r>
        <w:rPr>
          <w:rFonts w:ascii="Arial" w:cs="Arial" w:eastAsia="Arial" w:hAnsi="Arial"/>
          <w:b/>
          <w:bCs/>
          <w:sz w:val="22"/>
          <w:szCs w:val="22"/>
        </w:rPr>
        <w:t xml:space="preserve">What confirmation would show: </w:t>
      </w:r>
      <w:r>
        <w:rPr>
          <w:rFonts w:ascii="Arial" w:cs="Arial" w:eastAsia="Arial" w:hAnsi="Arial"/>
          <w:i/>
          <w:iCs/>
          <w:sz w:val="22"/>
          <w:szCs w:val="22"/>
        </w:rPr>
        <w:t xml:space="preserve">That self-referential depth measures outperform integration measures in dissociation conditions — supporting both ASO and RPT against IIT as the more fundamental criterion.</w:t>
      </w:r>
    </w:p>
    <w:p>
      <w:pPr>
        <w:pBdr>
          <w:top w:val="single" w:color="AAAAAA" w:sz="4" w:space="4"/>
          <w:left w:val="single" w:color="AAAAAA" w:sz="4" w:space="4"/>
          <w:bottom w:val="single" w:color="AAAAAA" w:sz="4" w:space="4"/>
          <w:right w:val="single" w:color="AAAAAA" w:sz="4" w:space="4"/>
        </w:pBdr>
        <w:spacing w:after="140" w:before="100" w:line="300" w:lineRule="auto"/>
        <w:ind w:left="200" w:right="200"/>
        <w:jc w:val="both"/>
      </w:pPr>
      <w:r>
        <w:rPr>
          <w:rFonts w:ascii="Arial" w:cs="Arial" w:eastAsia="Arial" w:hAnsi="Arial"/>
          <w:b/>
          <w:bCs/>
          <w:sz w:val="22"/>
          <w:szCs w:val="22"/>
        </w:rPr>
        <w:t xml:space="preserve">What disconfirmation would show: </w:t>
      </w:r>
      <w:r>
        <w:rPr>
          <w:rFonts w:ascii="Arial" w:cs="Arial" w:eastAsia="Arial" w:hAnsi="Arial"/>
          <w:i/>
          <w:iCs/>
          <w:sz w:val="22"/>
          <w:szCs w:val="22"/>
        </w:rPr>
        <w:t xml:space="preserve">That integration measures outperform self-referential depth in dissociation conditions — supporting IIT and casting doubt on both ASO and RPT.</w:t>
      </w:r>
    </w:p>
    <w:p>
      <w:pPr>
        <w:pBdr>
          <w:top w:val="single" w:color="AAAAAA" w:sz="4" w:space="4"/>
          <w:left w:val="single" w:color="AAAAAA" w:sz="4" w:space="4"/>
          <w:bottom w:val="single" w:color="AAAAAA" w:sz="4" w:space="4"/>
          <w:right w:val="single" w:color="AAAAAA" w:sz="4" w:space="4"/>
        </w:pBdr>
        <w:spacing w:after="140" w:before="100" w:line="300" w:lineRule="auto"/>
        <w:ind w:left="200" w:right="200"/>
        <w:jc w:val="both"/>
      </w:pPr>
      <w:r>
        <w:rPr>
          <w:rFonts w:ascii="Arial" w:cs="Arial" w:eastAsia="Arial" w:hAnsi="Arial"/>
          <w:b/>
          <w:bCs/>
          <w:sz w:val="22"/>
          <w:szCs w:val="22"/>
        </w:rPr>
        <w:t xml:space="preserve">What this would not show: </w:t>
      </w:r>
      <w:r>
        <w:rPr>
          <w:rFonts w:ascii="Arial" w:cs="Arial" w:eastAsia="Arial" w:hAnsi="Arial"/>
          <w:i/>
          <w:iCs/>
          <w:sz w:val="22"/>
          <w:szCs w:val="22"/>
        </w:rPr>
        <w:t xml:space="preserve">Whether ASO or RPT provides the correct explanation for the result. Both predict it. Distinguishing them requires a different design.</w:t>
      </w:r>
    </w:p>
    <w:p>
      <w:pPr>
        <w:spacing w:after="100" w:before="0"/>
      </w:pPr>
      <w:r>
        <w:rPr>
          <w:sz w:val="24"/>
          <w:szCs w:val="24"/>
        </w:rPr>
        <w:t xml:space="preserve"/>
      </w:r>
    </w:p>
    <w:p>
      <w:pPr>
        <w:pStyle w:val="Heading2"/>
        <w:spacing w:after="120" w:before="300"/>
      </w:pPr>
      <w:r>
        <w:rPr>
          <w:rFonts w:ascii="Arial" w:cs="Arial" w:eastAsia="Arial" w:hAnsi="Arial"/>
          <w:b/>
          <w:bCs/>
          <w:color w:val="222222"/>
          <w:sz w:val="25"/>
          <w:szCs w:val="25"/>
        </w:rPr>
        <w:t xml:space="preserve">Prediction 2: Self-Referential Stability and Experiential Unity</w:t>
      </w:r>
    </w:p>
    <w:p>
      <w:pPr>
        <w:pBdr>
          <w:top w:val="single" w:color="333333" w:sz="6" w:space="6"/>
          <w:left w:val="thick" w:color="333333" w:sz="12" w:space="8"/>
          <w:bottom w:val="single" w:color="333333" w:sz="6" w:space="6"/>
          <w:right w:val="single" w:color="333333" w:sz="6" w:space="6"/>
        </w:pBdr>
        <w:spacing w:after="160" w:before="160" w:line="340" w:lineRule="auto"/>
        <w:ind w:left="400" w:right="400"/>
        <w:jc w:val="both"/>
      </w:pPr>
      <w:r>
        <w:rPr>
          <w:rFonts w:ascii="Arial" w:cs="Arial" w:eastAsia="Arial" w:hAnsi="Arial"/>
          <w:b/>
          <w:bCs/>
          <w:sz w:val="23"/>
          <w:szCs w:val="23"/>
        </w:rPr>
        <w:t xml:space="preserve">Prediction 2: </w:t>
      </w:r>
      <w:r>
        <w:rPr>
          <w:rFonts w:ascii="Arial" w:cs="Arial" w:eastAsia="Arial" w:hAnsi="Arial"/>
          <w:sz w:val="23"/>
          <w:szCs w:val="23"/>
        </w:rPr>
        <w:t xml:space="preserve">The speed and completeness of recovery of experiential unity following perturbation will correlate with the depth of self-referential integration, independently of overall neural complexity or information content.</w:t>
      </w:r>
    </w:p>
    <w:p>
      <w:pPr>
        <w:spacing w:after="100" w:before="0"/>
      </w:pPr>
      <w:r>
        <w:rPr>
          <w:sz w:val="24"/>
          <w:szCs w:val="24"/>
        </w:rPr>
        <w:t xml:space="preserve"/>
      </w:r>
    </w:p>
    <w:p>
      <w:pPr>
        <w:pStyle w:val="Heading3"/>
        <w:spacing w:after="100" w:before="220"/>
      </w:pPr>
      <w:r>
        <w:rPr>
          <w:rFonts w:ascii="Arial" w:cs="Arial" w:eastAsia="Arial" w:hAnsi="Arial"/>
          <w:b/>
          <w:bCs/>
          <w:i/>
          <w:iCs/>
          <w:color w:val="333333"/>
          <w:sz w:val="24"/>
          <w:szCs w:val="24"/>
        </w:rPr>
        <w:t xml:space="preserve">2.2.1 Rationale</w:t>
      </w:r>
    </w:p>
    <w:p>
      <w:pPr>
        <w:spacing w:after="160" w:before="0" w:line="360" w:lineRule="auto"/>
        <w:ind w:firstLine="720"/>
        <w:jc w:val="both"/>
      </w:pPr>
      <w:r>
        <w:rPr>
          <w:rFonts w:ascii="Arial" w:cs="Arial" w:eastAsia="Arial" w:hAnsi="Arial"/>
          <w:sz w:val="24"/>
          <w:szCs w:val="24"/>
        </w:rPr>
        <w:t xml:space="preserve">The Unity Thesis in the ASO framework holds that experiential unity follows from the stability of the self-referential structure — its capacity to maintain a unique attractor under perturbation — rather than from any particular mechanism of neural integration. The framework's rate corollary states: systems with deeper self-referential integration will recover experiential coherence more rapidly after perturbation.</w:t>
      </w:r>
    </w:p>
    <w:p>
      <w:pPr>
        <w:spacing w:after="160" w:before="0" w:line="360" w:lineRule="auto"/>
        <w:ind w:firstLine="720"/>
        <w:jc w:val="both"/>
      </w:pPr>
      <w:r>
        <w:rPr>
          <w:rFonts w:ascii="Arial" w:cs="Arial" w:eastAsia="Arial" w:hAnsi="Arial"/>
          <w:sz w:val="24"/>
          <w:szCs w:val="24"/>
        </w:rPr>
        <w:t xml:space="preserve">This prediction is distinct from IIT's binding account (which would predict that Phi recovery predicts unity recovery) and from GWT (which would predict that recovery of global broadcast predicts unity recovery). The ASO prediction specifically concerns the self-referential depth of processing — the degree to which the system's processing includes its own processing as an object — as the relevant variable.</w:t>
      </w:r>
    </w:p>
    <w:p>
      <w:pPr>
        <w:spacing w:after="160" w:before="0" w:line="360" w:lineRule="auto"/>
        <w:ind w:firstLine="720"/>
        <w:jc w:val="both"/>
      </w:pPr>
      <w:r>
        <w:rPr>
          <w:rFonts w:ascii="Arial" w:cs="Arial" w:eastAsia="Arial" w:hAnsi="Arial"/>
          <w:sz w:val="24"/>
          <w:szCs w:val="24"/>
        </w:rPr>
        <w:t xml:space="preserve">It is important to be clear about what this prediction does and does not say. It does not predict that more complex brains recover faster. It predicts that individuals with greater depth of self-referential integration — independent of overall complexity — recover the sense of being a unified subject more rapidly after disruptions such as those produced by TMS-induced virtual lesions, brief anaesthetic transitions, or sleep-inertia states.</w:t>
      </w:r>
    </w:p>
    <w:p>
      <w:pPr>
        <w:pStyle w:val="Heading3"/>
        <w:spacing w:after="100" w:before="220"/>
      </w:pPr>
      <w:r>
        <w:rPr>
          <w:rFonts w:ascii="Arial" w:cs="Arial" w:eastAsia="Arial" w:hAnsi="Arial"/>
          <w:b/>
          <w:bCs/>
          <w:i/>
          <w:iCs/>
          <w:color w:val="333333"/>
          <w:sz w:val="24"/>
          <w:szCs w:val="24"/>
        </w:rPr>
        <w:t xml:space="preserve">2.2.2 Proposed Study Design</w:t>
      </w:r>
    </w:p>
    <w:p>
      <w:pPr>
        <w:spacing w:after="160" w:before="0" w:line="360" w:lineRule="auto"/>
        <w:ind w:firstLine="720"/>
        <w:jc w:val="both"/>
      </w:pPr>
      <w:r>
        <w:rPr>
          <w:rFonts w:ascii="Arial" w:cs="Arial" w:eastAsia="Arial" w:hAnsi="Arial"/>
          <w:b/>
          <w:bCs/>
          <w:sz w:val="24"/>
          <w:szCs w:val="24"/>
        </w:rPr>
        <w:t xml:space="preserve">Study type: </w:t>
      </w:r>
      <w:r>
        <w:rPr>
          <w:rFonts w:ascii="Arial" w:cs="Arial" w:eastAsia="Arial" w:hAnsi="Arial"/>
          <w:sz w:val="24"/>
          <w:szCs w:val="24"/>
        </w:rPr>
        <w:t xml:space="preserve">Within-subjects longitudinal design using TMS perturbation in healthy volunteers.</w:t>
      </w:r>
    </w:p>
    <w:p>
      <w:pPr>
        <w:spacing w:after="160" w:before="0" w:line="360" w:lineRule="auto"/>
        <w:ind w:firstLine="720"/>
        <w:jc w:val="both"/>
      </w:pPr>
      <w:r>
        <w:rPr>
          <w:rFonts w:ascii="Arial" w:cs="Arial" w:eastAsia="Arial" w:hAnsi="Arial"/>
          <w:sz w:val="24"/>
          <w:szCs w:val="24"/>
        </w:rPr>
        <w:t xml:space="preserve">Baseline characterisation: For each participant, establish a baseline measure of self-referential processing depth using two complementary measures: (a) TMS-EEG source-complexity during resting state — specifically the degree to which early cortical responses to TMS are modulated by preceding self-referential processing (Rosanova et al., 2012); (b) PCI score as an independent measure of the same capacity. Also establish baseline metacognitive accuracy (the correlation between confidence ratings and accuracy in perceptual tasks) as a behavioural measure of second-order self-reference.</w:t>
      </w:r>
    </w:p>
    <w:p>
      <w:pPr>
        <w:spacing w:after="160" w:before="0" w:line="360" w:lineRule="auto"/>
        <w:ind w:firstLine="720"/>
        <w:jc w:val="both"/>
      </w:pPr>
      <w:r>
        <w:rPr>
          <w:rFonts w:ascii="Arial" w:cs="Arial" w:eastAsia="Arial" w:hAnsi="Arial"/>
          <w:sz w:val="24"/>
          <w:szCs w:val="24"/>
        </w:rPr>
        <w:t xml:space="preserve">Perturbation paradigm: Apply TMS virtual lesions to lateral prefrontal cortex — a region consistently implicated in self-referential processing (Northoff and Bermpohl, 2004) — at intensities sufficient to transiently disrupt conscious coherence without inducing seizure or loss of consciousness. This is a standard paradigm with established safety parameters (Wassermann, 1998).</w:t>
      </w:r>
    </w:p>
    <w:p>
      <w:pPr>
        <w:spacing w:after="160" w:before="0" w:line="360" w:lineRule="auto"/>
        <w:ind w:firstLine="720"/>
        <w:jc w:val="both"/>
      </w:pPr>
      <w:r>
        <w:rPr>
          <w:rFonts w:ascii="Arial" w:cs="Arial" w:eastAsia="Arial" w:hAnsi="Arial"/>
          <w:sz w:val="24"/>
          <w:szCs w:val="24"/>
        </w:rPr>
        <w:t xml:space="preserve">Recovery measurement: Immediately following each perturbation, administer a rapid (60-second) experiential coherence assessment: participants rate (a) the sense of being a unified subject, (b) the clarity of the boundary between self and world, and (c) the sense of temporal continuity. Repeat at 2, 5, and 10 minutes post-perturbation. The primary measure is the area under the recovery curve — the degree to which coherence ratings return to baseline over the 10-minute window.</w:t>
      </w:r>
    </w:p>
    <w:p>
      <w:pPr>
        <w:spacing w:after="160" w:before="0" w:line="360" w:lineRule="auto"/>
        <w:ind w:firstLine="720"/>
        <w:jc w:val="both"/>
      </w:pPr>
      <w:r>
        <w:rPr>
          <w:rFonts w:ascii="Arial" w:cs="Arial" w:eastAsia="Arial" w:hAnsi="Arial"/>
          <w:sz w:val="24"/>
          <w:szCs w:val="24"/>
        </w:rPr>
        <w:t xml:space="preserve">The prediction is that baseline self-referential depth (measured by TMS-EEG and PCI) will correlate with recovery speed, after controlling for overall neural complexity (measured by EEG power and entropy), working memory capacity, and trait anxiety.</w:t>
      </w:r>
    </w:p>
    <w:p>
      <w:pPr>
        <w:spacing w:after="160" w:before="0" w:line="360" w:lineRule="auto"/>
        <w:ind w:firstLine="720"/>
        <w:jc w:val="both"/>
      </w:pPr>
      <w:r>
        <w:rPr>
          <w:rFonts w:ascii="Arial" w:cs="Arial" w:eastAsia="Arial" w:hAnsi="Arial"/>
          <w:sz w:val="24"/>
          <w:szCs w:val="24"/>
        </w:rPr>
        <w:t xml:space="preserve">Sample: Estimated N = 60 healthy adults based on medium effect sizes from analogous perturbation-recovery studies (Siclari et al., 2016). Pre-registered design recommended.</w:t>
      </w:r>
    </w:p>
    <w:p>
      <w:pPr>
        <w:pBdr>
          <w:top w:val="single" w:color="AAAAAA" w:sz="4" w:space="4"/>
          <w:left w:val="single" w:color="AAAAAA" w:sz="4" w:space="4"/>
          <w:bottom w:val="single" w:color="AAAAAA" w:sz="4" w:space="4"/>
          <w:right w:val="single" w:color="AAAAAA" w:sz="4" w:space="4"/>
        </w:pBdr>
        <w:spacing w:after="140" w:before="100" w:line="300" w:lineRule="auto"/>
        <w:ind w:left="200" w:right="200"/>
        <w:jc w:val="both"/>
      </w:pPr>
      <w:r>
        <w:rPr>
          <w:rFonts w:ascii="Arial" w:cs="Arial" w:eastAsia="Arial" w:hAnsi="Arial"/>
          <w:b/>
          <w:bCs/>
          <w:sz w:val="22"/>
          <w:szCs w:val="22"/>
        </w:rPr>
        <w:t xml:space="preserve">What confirmation would show: </w:t>
      </w:r>
      <w:r>
        <w:rPr>
          <w:rFonts w:ascii="Arial" w:cs="Arial" w:eastAsia="Arial" w:hAnsi="Arial"/>
          <w:i/>
          <w:iCs/>
          <w:sz w:val="22"/>
          <w:szCs w:val="22"/>
        </w:rPr>
        <w:t xml:space="preserve">That self-referential depth at baseline predicts recovery of experiential unity over and above general neural complexity — supporting the specific claim that the unity of experience tracks self-referential structure rather than integration or complexity per se.</w:t>
      </w:r>
    </w:p>
    <w:p>
      <w:pPr>
        <w:pBdr>
          <w:top w:val="single" w:color="AAAAAA" w:sz="4" w:space="4"/>
          <w:left w:val="single" w:color="AAAAAA" w:sz="4" w:space="4"/>
          <w:bottom w:val="single" w:color="AAAAAA" w:sz="4" w:space="4"/>
          <w:right w:val="single" w:color="AAAAAA" w:sz="4" w:space="4"/>
        </w:pBdr>
        <w:spacing w:after="140" w:before="100" w:line="300" w:lineRule="auto"/>
        <w:ind w:left="200" w:right="200"/>
        <w:jc w:val="both"/>
      </w:pPr>
      <w:r>
        <w:rPr>
          <w:rFonts w:ascii="Arial" w:cs="Arial" w:eastAsia="Arial" w:hAnsi="Arial"/>
          <w:b/>
          <w:bCs/>
          <w:sz w:val="22"/>
          <w:szCs w:val="22"/>
        </w:rPr>
        <w:t xml:space="preserve">What disconfirmation would show: </w:t>
      </w:r>
      <w:r>
        <w:rPr>
          <w:rFonts w:ascii="Arial" w:cs="Arial" w:eastAsia="Arial" w:hAnsi="Arial"/>
          <w:i/>
          <w:iCs/>
          <w:sz w:val="22"/>
          <w:szCs w:val="22"/>
        </w:rPr>
        <w:t xml:space="preserve">That general complexity or integration measures are equally or more predictive — which would be consistent with IIT or GWT accounts and would not support the specific ASO claim.</w:t>
      </w:r>
    </w:p>
    <w:p>
      <w:pPr>
        <w:pBdr>
          <w:top w:val="single" w:color="AAAAAA" w:sz="4" w:space="4"/>
          <w:left w:val="single" w:color="AAAAAA" w:sz="4" w:space="4"/>
          <w:bottom w:val="single" w:color="AAAAAA" w:sz="4" w:space="4"/>
          <w:right w:val="single" w:color="AAAAAA" w:sz="4" w:space="4"/>
        </w:pBdr>
        <w:spacing w:after="140" w:before="100" w:line="300" w:lineRule="auto"/>
        <w:ind w:left="200" w:right="200"/>
        <w:jc w:val="both"/>
      </w:pPr>
      <w:r>
        <w:rPr>
          <w:rFonts w:ascii="Arial" w:cs="Arial" w:eastAsia="Arial" w:hAnsi="Arial"/>
          <w:b/>
          <w:bCs/>
          <w:sz w:val="22"/>
          <w:szCs w:val="22"/>
        </w:rPr>
        <w:t xml:space="preserve">Limitation: </w:t>
      </w:r>
      <w:r>
        <w:rPr>
          <w:rFonts w:ascii="Arial" w:cs="Arial" w:eastAsia="Arial" w:hAnsi="Arial"/>
          <w:i/>
          <w:iCs/>
          <w:sz w:val="22"/>
          <w:szCs w:val="22"/>
        </w:rPr>
        <w:t xml:space="preserve">The study measures the sense of unity (a report) rather than unity itself. The gap between the two cannot be closed experimentally. This is an irreducible limitation of all empirical consciousness research.</w:t>
      </w:r>
    </w:p>
    <w:p>
      <w:pPr>
        <w:spacing w:after="100" w:before="0"/>
      </w:pPr>
      <w:r>
        <w:rPr>
          <w:sz w:val="24"/>
          <w:szCs w:val="24"/>
        </w:rPr>
        <w:t xml:space="preserve"/>
      </w:r>
    </w:p>
    <w:p>
      <w:pPr>
        <w:pStyle w:val="Heading2"/>
        <w:spacing w:after="120" w:before="300"/>
      </w:pPr>
      <w:r>
        <w:rPr>
          <w:rFonts w:ascii="Arial" w:cs="Arial" w:eastAsia="Arial" w:hAnsi="Arial"/>
          <w:b/>
          <w:bCs/>
          <w:color w:val="222222"/>
          <w:sz w:val="25"/>
          <w:szCs w:val="25"/>
        </w:rPr>
        <w:t xml:space="preserve">Prediction 3: Freedom Suppression and Self-Referential Depth</w:t>
      </w:r>
    </w:p>
    <w:p>
      <w:pPr>
        <w:pBdr>
          <w:top w:val="single" w:color="333333" w:sz="6" w:space="6"/>
          <w:left w:val="thick" w:color="333333" w:sz="12" w:space="8"/>
          <w:bottom w:val="single" w:color="333333" w:sz="6" w:space="6"/>
          <w:right w:val="single" w:color="333333" w:sz="6" w:space="6"/>
        </w:pBdr>
        <w:spacing w:after="160" w:before="160" w:line="340" w:lineRule="auto"/>
        <w:ind w:left="400" w:right="400"/>
        <w:jc w:val="both"/>
      </w:pPr>
      <w:r>
        <w:rPr>
          <w:rFonts w:ascii="Arial" w:cs="Arial" w:eastAsia="Arial" w:hAnsi="Arial"/>
          <w:b/>
          <w:bCs/>
          <w:sz w:val="23"/>
          <w:szCs w:val="23"/>
        </w:rPr>
        <w:t xml:space="preserve">Prediction 3: </w:t>
      </w:r>
      <w:r>
        <w:rPr>
          <w:rFonts w:ascii="Arial" w:cs="Arial" w:eastAsia="Arial" w:hAnsi="Arial"/>
          <w:sz w:val="23"/>
          <w:szCs w:val="23"/>
        </w:rPr>
        <w:t xml:space="preserve">Chronic suppression of self-determination (Freedom₂) will produce measurable reductions in second-order self-referential processing depth, independently of self-reported affect, stress, or wellbeing.</w:t>
      </w:r>
    </w:p>
    <w:p>
      <w:pPr>
        <w:spacing w:after="100" w:before="0"/>
      </w:pPr>
      <w:r>
        <w:rPr>
          <w:sz w:val="24"/>
          <w:szCs w:val="24"/>
        </w:rPr>
        <w:t xml:space="preserve"/>
      </w:r>
    </w:p>
    <w:p>
      <w:pPr>
        <w:pStyle w:val="Heading3"/>
        <w:spacing w:after="100" w:before="220"/>
      </w:pPr>
      <w:r>
        <w:rPr>
          <w:rFonts w:ascii="Arial" w:cs="Arial" w:eastAsia="Arial" w:hAnsi="Arial"/>
          <w:b/>
          <w:bCs/>
          <w:i/>
          <w:iCs/>
          <w:color w:val="333333"/>
          <w:sz w:val="24"/>
          <w:szCs w:val="24"/>
        </w:rPr>
        <w:t xml:space="preserve">2.3.1 Rationale</w:t>
      </w:r>
    </w:p>
    <w:p>
      <w:pPr>
        <w:spacing w:after="160" w:before="0" w:line="360" w:lineRule="auto"/>
        <w:ind w:firstLine="720"/>
        <w:jc w:val="both"/>
      </w:pPr>
      <w:r>
        <w:rPr>
          <w:rFonts w:ascii="Arial" w:cs="Arial" w:eastAsia="Arial" w:hAnsi="Arial"/>
          <w:sz w:val="24"/>
          <w:szCs w:val="24"/>
        </w:rPr>
        <w:t xml:space="preserve">The FCIT in the ASO framework holds that freedom and consciousness share a formal structure — both are expressions of the self-referential act O(O) = O at different levels of description. One implication is that chronic conditions suppressing Freedom₂ — the expression of the self-originating act through action, choice, and self-determination — should reduce the depth of self-referential processing, not merely reduce hedonic wellbeing.</w:t>
      </w:r>
    </w:p>
    <w:p>
      <w:pPr>
        <w:spacing w:after="160" w:before="0" w:line="360" w:lineRule="auto"/>
        <w:ind w:firstLine="720"/>
        <w:jc w:val="both"/>
      </w:pPr>
      <w:r>
        <w:rPr>
          <w:rFonts w:ascii="Arial" w:cs="Arial" w:eastAsia="Arial" w:hAnsi="Arial"/>
          <w:sz w:val="24"/>
          <w:szCs w:val="24"/>
        </w:rPr>
        <w:t xml:space="preserve">This prediction is distinct from existing SDT predictions. SDT predicts that autonomy frustration reduces wellbeing, vitality, and engagement (Ryan and Deci, 2000). The ASO prediction is stronger: it predicts a reduction in the structural depth of self-referential processing — a change at the level of neural processing architecture, not merely at the level of subjective experience or motivation. Crucially, the prediction is that this reduction should be observable independently of affect: a person who has adapted to chronic unfreedom and reports acceptable wellbeing should still show reduced self-referential processing depth compared to a person with equivalent cognitive capacity but greater self-determination.</w:t>
      </w:r>
    </w:p>
    <w:p>
      <w:pPr>
        <w:spacing w:after="160" w:before="0" w:line="360" w:lineRule="auto"/>
        <w:ind w:firstLine="720"/>
        <w:jc w:val="both"/>
      </w:pPr>
      <w:r>
        <w:rPr>
          <w:rFonts w:ascii="Arial" w:cs="Arial" w:eastAsia="Arial" w:hAnsi="Arial"/>
          <w:sz w:val="24"/>
          <w:szCs w:val="24"/>
        </w:rPr>
        <w:t xml:space="preserve">It must be acknowledged that this prediction involves a causal claim that is difficult to establish cleanly. Chronic unfreedom is confounded with chronic stress, reduced sleep, poor nutrition, and restricted social connection — all of which affect neural processing independently. The study design below attempts to address these confounds, but cannot eliminate them entirely. The prediction should be understood as a hypothesis for investigation, not an established finding.</w:t>
      </w:r>
    </w:p>
    <w:p>
      <w:pPr>
        <w:pStyle w:val="Heading3"/>
        <w:spacing w:after="100" w:before="220"/>
      </w:pPr>
      <w:r>
        <w:rPr>
          <w:rFonts w:ascii="Arial" w:cs="Arial" w:eastAsia="Arial" w:hAnsi="Arial"/>
          <w:b/>
          <w:bCs/>
          <w:i/>
          <w:iCs/>
          <w:color w:val="333333"/>
          <w:sz w:val="24"/>
          <w:szCs w:val="24"/>
        </w:rPr>
        <w:t xml:space="preserve">2.3.2 Proposed Study Design</w:t>
      </w:r>
    </w:p>
    <w:p>
      <w:pPr>
        <w:spacing w:after="160" w:before="0" w:line="360" w:lineRule="auto"/>
        <w:ind w:firstLine="720"/>
        <w:jc w:val="both"/>
      </w:pPr>
      <w:r>
        <w:rPr>
          <w:rFonts w:ascii="Arial" w:cs="Arial" w:eastAsia="Arial" w:hAnsi="Arial"/>
          <w:b/>
          <w:bCs/>
          <w:sz w:val="24"/>
          <w:szCs w:val="24"/>
        </w:rPr>
        <w:t xml:space="preserve">Study type: </w:t>
      </w:r>
      <w:r>
        <w:rPr>
          <w:rFonts w:ascii="Arial" w:cs="Arial" w:eastAsia="Arial" w:hAnsi="Arial"/>
          <w:sz w:val="24"/>
          <w:szCs w:val="24"/>
        </w:rPr>
        <w:t xml:space="preserve">Cross-sectional comparative study with longitudinal follow-up.</w:t>
      </w:r>
    </w:p>
    <w:p>
      <w:pPr>
        <w:spacing w:after="160" w:before="0" w:line="360" w:lineRule="auto"/>
        <w:ind w:firstLine="720"/>
        <w:jc w:val="both"/>
      </w:pPr>
      <w:r>
        <w:rPr>
          <w:rFonts w:ascii="Arial" w:cs="Arial" w:eastAsia="Arial" w:hAnsi="Arial"/>
          <w:sz w:val="24"/>
          <w:szCs w:val="24"/>
        </w:rPr>
        <w:t xml:space="preserve">Phase 1 — Cross-sectional: Recruit three groups matched for age, sex, education, and cognitive ability: (a) individuals with high self-reported autonomy in work and personal life (high Freedom₂ group); (b) individuals in highly controlling employment conditions — assembly-line workers, call-centre workers in monitored settings — with low self-reported autonomy (low Freedom₂ group); (c) individuals in low-autonomy conditions who have recently transitioned to higher-autonomy conditions (transition group). Administer measures of self-referential processing depth (metacognitive accuracy on perceptual tasks, TMS-EEG self-referential modulation indices), affect (PANAS), stress (cortisol at three time points), sleep quality (PSQI), and autonomy experience (Basic Psychological Needs Scale).</w:t>
      </w:r>
    </w:p>
    <w:p>
      <w:pPr>
        <w:spacing w:after="160" w:before="0" w:line="360" w:lineRule="auto"/>
        <w:ind w:firstLine="720"/>
        <w:jc w:val="both"/>
      </w:pPr>
      <w:r>
        <w:rPr>
          <w:rFonts w:ascii="Arial" w:cs="Arial" w:eastAsia="Arial" w:hAnsi="Arial"/>
          <w:sz w:val="24"/>
          <w:szCs w:val="24"/>
        </w:rPr>
        <w:t xml:space="preserve">The primary analysis is whether Freedom₂ group predicts self-referential depth after controlling for affect, stress, sleep, and cognitive capacity. If the prediction is correct, the low-Freedom₂ group will show reduced self-referential depth that is not fully explained by the covariates.</w:t>
      </w:r>
    </w:p>
    <w:p>
      <w:pPr>
        <w:spacing w:after="160" w:before="0" w:line="360" w:lineRule="auto"/>
        <w:ind w:firstLine="720"/>
        <w:jc w:val="both"/>
      </w:pPr>
      <w:r>
        <w:rPr>
          <w:rFonts w:ascii="Arial" w:cs="Arial" w:eastAsia="Arial" w:hAnsi="Arial"/>
          <w:sz w:val="24"/>
          <w:szCs w:val="24"/>
        </w:rPr>
        <w:t xml:space="preserve">Phase 2 — Longitudinal: Follow the transition group for six months. The prediction is that increases in autonomy experience will be accompanied by increases in self-referential depth on a faster timescale than would be predicted by affect or stress changes alone — suggesting that the self-referential processing change is not merely downstream of mood improvement.</w:t>
      </w:r>
    </w:p>
    <w:p>
      <w:pPr>
        <w:spacing w:after="160" w:before="0" w:line="360" w:lineRule="auto"/>
        <w:ind w:firstLine="720"/>
        <w:jc w:val="both"/>
      </w:pPr>
      <w:r>
        <w:rPr>
          <w:rFonts w:ascii="Arial" w:cs="Arial" w:eastAsia="Arial" w:hAnsi="Arial"/>
          <w:sz w:val="24"/>
          <w:szCs w:val="24"/>
        </w:rPr>
        <w:t xml:space="preserve">Sample: Estimated N = 50 per group (Phase 1), N = 40 for longitudinal follow-up, based on effect sizes from neuroscience studies of autonomy and prefrontal function (Arnsten, 2009). This is a power estimate rather than a definitive sample size calculation; a formal power analysis should be conducted prior to data collection.</w:t>
      </w:r>
    </w:p>
    <w:p>
      <w:pPr>
        <w:pBdr>
          <w:top w:val="single" w:color="AAAAAA" w:sz="4" w:space="4"/>
          <w:left w:val="single" w:color="AAAAAA" w:sz="4" w:space="4"/>
          <w:bottom w:val="single" w:color="AAAAAA" w:sz="4" w:space="4"/>
          <w:right w:val="single" w:color="AAAAAA" w:sz="4" w:space="4"/>
        </w:pBdr>
        <w:spacing w:after="140" w:before="100" w:line="300" w:lineRule="auto"/>
        <w:ind w:left="200" w:right="200"/>
        <w:jc w:val="both"/>
      </w:pPr>
      <w:r>
        <w:rPr>
          <w:rFonts w:ascii="Arial" w:cs="Arial" w:eastAsia="Arial" w:hAnsi="Arial"/>
          <w:b/>
          <w:bCs/>
          <w:sz w:val="22"/>
          <w:szCs w:val="22"/>
        </w:rPr>
        <w:t xml:space="preserve">What confirmation would show: </w:t>
      </w:r>
      <w:r>
        <w:rPr>
          <w:rFonts w:ascii="Arial" w:cs="Arial" w:eastAsia="Arial" w:hAnsi="Arial"/>
          <w:i/>
          <w:iCs/>
          <w:sz w:val="22"/>
          <w:szCs w:val="22"/>
        </w:rPr>
        <w:t xml:space="preserve">That chronic autonomy suppression reduces self-referential processing depth beyond what is explained by affect, stress, and sleep — supporting the specific claim that freedom and consciousness share a structural basis rather than merely correlating through wellbeing.</w:t>
      </w:r>
    </w:p>
    <w:p>
      <w:pPr>
        <w:pBdr>
          <w:top w:val="single" w:color="AAAAAA" w:sz="4" w:space="4"/>
          <w:left w:val="single" w:color="AAAAAA" w:sz="4" w:space="4"/>
          <w:bottom w:val="single" w:color="AAAAAA" w:sz="4" w:space="4"/>
          <w:right w:val="single" w:color="AAAAAA" w:sz="4" w:space="4"/>
        </w:pBdr>
        <w:spacing w:after="140" w:before="100" w:line="300" w:lineRule="auto"/>
        <w:ind w:left="200" w:right="200"/>
        <w:jc w:val="both"/>
      </w:pPr>
      <w:r>
        <w:rPr>
          <w:rFonts w:ascii="Arial" w:cs="Arial" w:eastAsia="Arial" w:hAnsi="Arial"/>
          <w:b/>
          <w:bCs/>
          <w:sz w:val="22"/>
          <w:szCs w:val="22"/>
        </w:rPr>
        <w:t xml:space="preserve">What disconfirmation would show: </w:t>
      </w:r>
      <w:r>
        <w:rPr>
          <w:rFonts w:ascii="Arial" w:cs="Arial" w:eastAsia="Arial" w:hAnsi="Arial"/>
          <w:i/>
          <w:iCs/>
          <w:sz w:val="22"/>
          <w:szCs w:val="22"/>
        </w:rPr>
        <w:t xml:space="preserve">That the reduction in self-referential depth is fully explained by covariates — which would be consistent with SDT and stress-biology accounts and would not require the ASO's stronger structural claim.</w:t>
      </w:r>
    </w:p>
    <w:p>
      <w:pPr>
        <w:pBdr>
          <w:top w:val="single" w:color="AAAAAA" w:sz="4" w:space="4"/>
          <w:left w:val="single" w:color="AAAAAA" w:sz="4" w:space="4"/>
          <w:bottom w:val="single" w:color="AAAAAA" w:sz="4" w:space="4"/>
          <w:right w:val="single" w:color="AAAAAA" w:sz="4" w:space="4"/>
        </w:pBdr>
        <w:spacing w:after="140" w:before="100" w:line="300" w:lineRule="auto"/>
        <w:ind w:left="200" w:right="200"/>
        <w:jc w:val="both"/>
      </w:pPr>
      <w:r>
        <w:rPr>
          <w:rFonts w:ascii="Arial" w:cs="Arial" w:eastAsia="Arial" w:hAnsi="Arial"/>
          <w:b/>
          <w:bCs/>
          <w:sz w:val="22"/>
          <w:szCs w:val="22"/>
        </w:rPr>
        <w:t xml:space="preserve">Critical limitation: </w:t>
      </w:r>
      <w:r>
        <w:rPr>
          <w:rFonts w:ascii="Arial" w:cs="Arial" w:eastAsia="Arial" w:hAnsi="Arial"/>
          <w:i/>
          <w:iCs/>
          <w:sz w:val="22"/>
          <w:szCs w:val="22"/>
        </w:rPr>
        <w:t xml:space="preserve">The confounds between autonomy suppression and stress, sleep, and nutrition are substantial and cannot be fully controlled in a real-world study. A cleaner test would require an experimental manipulation of autonomy in a controlled setting — which raises significant ethical constraints on the degree of suppression that can be applied.</w:t>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pStyle w:val="Heading1"/>
        <w:spacing w:after="180" w:before="440"/>
      </w:pPr>
      <w:r>
        <w:rPr>
          <w:rFonts w:ascii="Arial" w:cs="Arial" w:eastAsia="Arial" w:hAnsi="Arial"/>
          <w:b/>
          <w:bCs/>
          <w:color w:val="111111"/>
          <w:sz w:val="30"/>
          <w:szCs w:val="30"/>
        </w:rPr>
        <w:t xml:space="preserve">III. Summary: Predictions, Designs, and What They Test</w:t>
      </w:r>
    </w:p>
    <w:p>
      <w:pPr>
        <w:spacing w:after="100" w:before="0"/>
      </w:pPr>
      <w:r>
        <w:rPr>
          <w:sz w:val="24"/>
          <w:szCs w:val="24"/>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5"/>
      </w:tblGrid>
      <w:tr>
        <w:tc>
          <w:tcPr>
            <w:tcW w:type="dxa" w:w="1805"/>
            <w:tcBorders>
              <w:top w:val="single" w:color="CCCCCC" w:sz="4"/>
              <w:left w:val="single" w:color="CCCCCC" w:sz="4"/>
              <w:bottom w:val="single" w:color="CCCCCC" w:sz="4"/>
              <w:right w:val="single" w:color="CCCCCC" w:sz="4"/>
            </w:tcBorders>
            <w:shd w:fill="F0F0F0" w:val="clear"/>
            <w:tcMar>
              <w:top w:type="dxa" w:w="80"/>
              <w:left w:type="dxa" w:w="120"/>
              <w:bottom w:type="dxa" w:w="80"/>
              <w:right w:type="dxa" w:w="120"/>
            </w:tcMar>
          </w:tcPr>
          <w:p>
            <w:r>
              <w:rPr>
                <w:rFonts w:ascii="Arial" w:cs="Arial" w:eastAsia="Arial" w:hAnsi="Arial"/>
                <w:b/>
                <w:bCs/>
                <w:sz w:val="21"/>
                <w:szCs w:val="21"/>
              </w:rPr>
              <w:t xml:space="preserve">Prediction</w:t>
            </w:r>
          </w:p>
        </w:tc>
        <w:tc>
          <w:tcPr>
            <w:tcW w:type="dxa" w:w="1805"/>
            <w:tcBorders>
              <w:top w:val="single" w:color="CCCCCC" w:sz="4"/>
              <w:left w:val="single" w:color="CCCCCC" w:sz="4"/>
              <w:bottom w:val="single" w:color="CCCCCC" w:sz="4"/>
              <w:right w:val="single" w:color="CCCCCC" w:sz="4"/>
            </w:tcBorders>
            <w:shd w:fill="F0F0F0" w:val="clear"/>
            <w:tcMar>
              <w:top w:type="dxa" w:w="80"/>
              <w:left w:type="dxa" w:w="120"/>
              <w:bottom w:type="dxa" w:w="80"/>
              <w:right w:type="dxa" w:w="120"/>
            </w:tcMar>
          </w:tcPr>
          <w:p>
            <w:r>
              <w:rPr>
                <w:rFonts w:ascii="Arial" w:cs="Arial" w:eastAsia="Arial" w:hAnsi="Arial"/>
                <w:b/>
                <w:bCs/>
                <w:sz w:val="21"/>
                <w:szCs w:val="21"/>
              </w:rPr>
              <w:t xml:space="preserve">Primary Hypothesis</w:t>
            </w:r>
          </w:p>
        </w:tc>
        <w:tc>
          <w:tcPr>
            <w:tcW w:type="dxa" w:w="1805"/>
            <w:tcBorders>
              <w:top w:val="single" w:color="CCCCCC" w:sz="4"/>
              <w:left w:val="single" w:color="CCCCCC" w:sz="4"/>
              <w:bottom w:val="single" w:color="CCCCCC" w:sz="4"/>
              <w:right w:val="single" w:color="CCCCCC" w:sz="4"/>
            </w:tcBorders>
            <w:shd w:fill="F0F0F0" w:val="clear"/>
            <w:tcMar>
              <w:top w:type="dxa" w:w="80"/>
              <w:left w:type="dxa" w:w="120"/>
              <w:bottom w:type="dxa" w:w="80"/>
              <w:right w:type="dxa" w:w="120"/>
            </w:tcMar>
          </w:tcPr>
          <w:p>
            <w:r>
              <w:rPr>
                <w:rFonts w:ascii="Arial" w:cs="Arial" w:eastAsia="Arial" w:hAnsi="Arial"/>
                <w:b/>
                <w:bCs/>
                <w:sz w:val="21"/>
                <w:szCs w:val="21"/>
              </w:rPr>
              <w:t xml:space="preserve">Key Measure</w:t>
            </w:r>
          </w:p>
        </w:tc>
        <w:tc>
          <w:tcPr>
            <w:tcW w:type="dxa" w:w="1805"/>
            <w:tcBorders>
              <w:top w:val="single" w:color="CCCCCC" w:sz="4"/>
              <w:left w:val="single" w:color="CCCCCC" w:sz="4"/>
              <w:bottom w:val="single" w:color="CCCCCC" w:sz="4"/>
              <w:right w:val="single" w:color="CCCCCC" w:sz="4"/>
            </w:tcBorders>
            <w:shd w:fill="F0F0F0" w:val="clear"/>
            <w:tcMar>
              <w:top w:type="dxa" w:w="80"/>
              <w:left w:type="dxa" w:w="120"/>
              <w:bottom w:type="dxa" w:w="80"/>
              <w:right w:type="dxa" w:w="120"/>
            </w:tcMar>
          </w:tcPr>
          <w:p>
            <w:r>
              <w:rPr>
                <w:rFonts w:ascii="Arial" w:cs="Arial" w:eastAsia="Arial" w:hAnsi="Arial"/>
                <w:b/>
                <w:bCs/>
                <w:sz w:val="21"/>
                <w:szCs w:val="21"/>
              </w:rPr>
              <w:t xml:space="preserve">Competing Accounts</w:t>
            </w:r>
          </w:p>
        </w:tc>
        <w:tc>
          <w:tcPr>
            <w:tcW w:type="dxa" w:w="1805"/>
            <w:tcBorders>
              <w:top w:val="single" w:color="CCCCCC" w:sz="4"/>
              <w:left w:val="single" w:color="CCCCCC" w:sz="4"/>
              <w:bottom w:val="single" w:color="CCCCCC" w:sz="4"/>
              <w:right w:val="single" w:color="CCCCCC" w:sz="4"/>
            </w:tcBorders>
            <w:shd w:fill="F0F0F0" w:val="clear"/>
            <w:tcMar>
              <w:top w:type="dxa" w:w="80"/>
              <w:left w:type="dxa" w:w="120"/>
              <w:bottom w:type="dxa" w:w="80"/>
              <w:right w:type="dxa" w:w="120"/>
            </w:tcMar>
          </w:tcPr>
          <w:p>
            <w:r>
              <w:rPr>
                <w:rFonts w:ascii="Arial" w:cs="Arial" w:eastAsia="Arial" w:hAnsi="Arial"/>
                <w:b/>
                <w:bCs/>
                <w:sz w:val="21"/>
                <w:szCs w:val="21"/>
              </w:rPr>
              <w:t xml:space="preserve">Decision Criterion</w:t>
            </w:r>
          </w:p>
        </w:tc>
      </w:tr>
      <w:tr>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1: Self-reference vs. integration</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In dissociation conditions, self-referential depth outperforms integration measures in predicting conscious presence.</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PCI vs. Phi-proxy in dissociation cases</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IIT (integration), RPT (recurrence), GWT (broadcast)</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Self-referential depth predicts consciousness in dissociation conditions where integration does not</w:t>
            </w:r>
          </w:p>
        </w:tc>
      </w:tr>
      <w:tr>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2: Unity and stability</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Baseline self-referential depth predicts recovery of experiential unity after perturbation, over and above general complexity.</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TMS-EEG self-referential indices; rapid unity ratings</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IIT (integration predicts unity), GWT (broadcast predicts unity)</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Self-referential depth predicts recovery speed after controlling for overall complexity</w:t>
            </w:r>
          </w:p>
        </w:tc>
      </w:tr>
      <w:tr>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3: Freedom and self-reference</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Chronic autonomy suppression reduces self-referential depth independently of affect and stress.</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Metacognitive accuracy; TMS-EEG modulation indices; BPNS</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SDT (autonomy predicts wellbeing), stress biology (cortisol predicts cognition)</w:t>
            </w:r>
          </w:p>
        </w:tc>
        <w:tc>
          <w:tcPr>
            <w:tcW w:type="dxa" w:w="1805"/>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val="false"/>
                <w:bCs w:val="false"/>
                <w:sz w:val="21"/>
                <w:szCs w:val="21"/>
              </w:rPr>
              <w:t xml:space="preserve">Group difference in self-referential depth survives covariate control for affect and stress</w:t>
            </w:r>
          </w:p>
        </w:tc>
      </w:tr>
    </w:tbl>
    <w:p>
      <w:pPr>
        <w:spacing w:after="100" w:before="0"/>
      </w:pPr>
      <w:r>
        <w:rPr>
          <w:sz w:val="24"/>
          <w:szCs w:val="24"/>
        </w:rPr>
        <w:t xml:space="preserve"/>
      </w:r>
    </w:p>
    <w:p>
      <w:pPr>
        <w:spacing w:after="100" w:before="0"/>
      </w:pPr>
      <w:r>
        <w:rPr>
          <w:sz w:val="24"/>
          <w:szCs w:val="24"/>
        </w:rPr>
        <w:t xml:space="preserve"/>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pStyle w:val="Heading1"/>
        <w:spacing w:after="180" w:before="440"/>
      </w:pPr>
      <w:r>
        <w:rPr>
          <w:rFonts w:ascii="Arial" w:cs="Arial" w:eastAsia="Arial" w:hAnsi="Arial"/>
          <w:b/>
          <w:bCs/>
          <w:color w:val="111111"/>
          <w:sz w:val="30"/>
          <w:szCs w:val="30"/>
        </w:rPr>
        <w:t xml:space="preserve">IV. Epistemic Honesty: What These Studies Would and Would Not Establish</w:t>
      </w:r>
    </w:p>
    <w:p>
      <w:pPr>
        <w:spacing w:after="160" w:before="0" w:line="360" w:lineRule="auto"/>
        <w:ind w:firstLine="720"/>
        <w:jc w:val="both"/>
      </w:pPr>
      <w:r>
        <w:rPr>
          <w:rFonts w:ascii="Arial" w:cs="Arial" w:eastAsia="Arial" w:hAnsi="Arial"/>
          <w:sz w:val="24"/>
          <w:szCs w:val="24"/>
        </w:rPr>
        <w:t xml:space="preserve">This section is important. Research proposals often overstate what confirmation of their predictions would mean. The present proposal attempts to be precise.</w:t>
      </w:r>
    </w:p>
    <w:p>
      <w:pPr>
        <w:pStyle w:val="Heading2"/>
        <w:spacing w:after="120" w:before="300"/>
      </w:pPr>
      <w:r>
        <w:rPr>
          <w:rFonts w:ascii="Arial" w:cs="Arial" w:eastAsia="Arial" w:hAnsi="Arial"/>
          <w:b/>
          <w:bCs/>
          <w:color w:val="222222"/>
          <w:sz w:val="25"/>
          <w:szCs w:val="25"/>
        </w:rPr>
        <w:t xml:space="preserve">4.1 What Confirmation Would Establish</w:t>
      </w:r>
    </w:p>
    <w:p>
      <w:pPr>
        <w:spacing w:after="160" w:before="0" w:line="360" w:lineRule="auto"/>
        <w:ind w:firstLine="720"/>
        <w:jc w:val="both"/>
      </w:pPr>
      <w:r>
        <w:rPr>
          <w:rFonts w:ascii="Arial" w:cs="Arial" w:eastAsia="Arial" w:hAnsi="Arial"/>
          <w:sz w:val="24"/>
          <w:szCs w:val="24"/>
        </w:rPr>
        <w:t xml:space="preserve">If all three predictions were confirmed, this would establish three things. First, that second-order self-referential processing depth is a better predictor of conscious presence than information integration measures alone, in conditions where they dissociate. This would be a genuine empirical contribution to consciousness science, independent of the ASO framework. Second, that the stability of self-referential processing predicts the robustness of experiential unity, supporting accounts that ground experiential unity in processing architecture rather than content integration. Third, that chronic autonomy suppression affects self-referential processing depth over and above its effects on wellbeing — which would constitute a novel empirical finding with implications for cognitive neuroscience and political psychology.</w:t>
      </w:r>
    </w:p>
    <w:p>
      <w:pPr>
        <w:spacing w:after="160" w:before="0" w:line="360" w:lineRule="auto"/>
        <w:ind w:firstLine="720"/>
        <w:jc w:val="both"/>
      </w:pPr>
      <w:r>
        <w:rPr>
          <w:rFonts w:ascii="Arial" w:cs="Arial" w:eastAsia="Arial" w:hAnsi="Arial"/>
          <w:sz w:val="24"/>
          <w:szCs w:val="24"/>
        </w:rPr>
        <w:t xml:space="preserve">What confirmation would not establish: the truth of the ASO framework's philosophical claims; the specific causal account of why self-referential depth matters for consciousness; the subjective character of conscious experience; or the metaphysical claims about ASO as the ground of being, freedom, and life. The philosophical framework motivated the predictions, but confirming the predictions does not validate the framework beyond its empirical implications.</w:t>
      </w:r>
    </w:p>
    <w:p>
      <w:pPr>
        <w:pStyle w:val="Heading2"/>
        <w:spacing w:after="120" w:before="300"/>
      </w:pPr>
      <w:r>
        <w:rPr>
          <w:rFonts w:ascii="Arial" w:cs="Arial" w:eastAsia="Arial" w:hAnsi="Arial"/>
          <w:b/>
          <w:bCs/>
          <w:color w:val="222222"/>
          <w:sz w:val="25"/>
          <w:szCs w:val="25"/>
        </w:rPr>
        <w:t xml:space="preserve">4.2 What Disconfirmation Would Establish</w:t>
      </w:r>
    </w:p>
    <w:p>
      <w:pPr>
        <w:spacing w:after="160" w:before="0" w:line="360" w:lineRule="auto"/>
        <w:ind w:firstLine="720"/>
        <w:jc w:val="both"/>
      </w:pPr>
      <w:r>
        <w:rPr>
          <w:rFonts w:ascii="Arial" w:cs="Arial" w:eastAsia="Arial" w:hAnsi="Arial"/>
          <w:sz w:val="24"/>
          <w:szCs w:val="24"/>
        </w:rPr>
        <w:t xml:space="preserve">If the predictions were consistently disconfirmed — if integration measures outperformed self-referential depth measures in dissociation conditions, if general complexity predicted unity recovery better than self-referential depth, and if autonomy suppression effects were fully explained by stress and affect — this would not refute the ASO philosophical framework. It would refute the specific bridging assumptions that connect the framework to these empirical predictions. The philosophical claim about the formal structure of consciousness would remain open to other approaches.</w:t>
      </w:r>
    </w:p>
    <w:p>
      <w:pPr>
        <w:spacing w:after="160" w:before="0" w:line="360" w:lineRule="auto"/>
        <w:ind w:firstLine="720"/>
        <w:jc w:val="both"/>
      </w:pPr>
      <w:r>
        <w:rPr>
          <w:rFonts w:ascii="Arial" w:cs="Arial" w:eastAsia="Arial" w:hAnsi="Arial"/>
          <w:sz w:val="24"/>
          <w:szCs w:val="24"/>
        </w:rPr>
        <w:t xml:space="preserve">However, consistent disconfirmation would reduce the plausibility of the framework in a real sense: if the framework's empirical implications are not borne out, the case for taking the framework seriously as an account of the structure of consciousness is weakened. This is the appropriate relationship between philosophical argument and empirical evidence: evidence does not prove or disprove philosophical claims, but it modulates their plausibility.</w:t>
      </w:r>
    </w:p>
    <w:p>
      <w:pPr>
        <w:pStyle w:val="Heading2"/>
        <w:spacing w:after="120" w:before="300"/>
      </w:pPr>
      <w:r>
        <w:rPr>
          <w:rFonts w:ascii="Arial" w:cs="Arial" w:eastAsia="Arial" w:hAnsi="Arial"/>
          <w:b/>
          <w:bCs/>
          <w:color w:val="222222"/>
          <w:sz w:val="25"/>
          <w:szCs w:val="25"/>
        </w:rPr>
        <w:t xml:space="preserve">4.3 Alternative Explanations</w:t>
      </w:r>
    </w:p>
    <w:p>
      <w:pPr>
        <w:spacing w:after="160" w:before="0" w:line="360" w:lineRule="auto"/>
        <w:ind w:firstLine="720"/>
        <w:jc w:val="both"/>
      </w:pPr>
      <w:r>
        <w:rPr>
          <w:rFonts w:ascii="Arial" w:cs="Arial" w:eastAsia="Arial" w:hAnsi="Arial"/>
          <w:sz w:val="24"/>
          <w:szCs w:val="24"/>
        </w:rPr>
        <w:t xml:space="preserve">For each prediction, plausible alternative explanations exist that would not require the ASO framework. These have been noted in the individual study sections. The present proposal does not claim that the ASO framework is the only or even the most parsimonious explanation for the predicted findings. It claims that the framework generates predictions, that those predictions are testable, and that the results would be informative about the framework's empirical traction. That is the appropriate scope for a philosophical framework's interaction with empirical research.</w:t>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pStyle w:val="Heading1"/>
        <w:spacing w:after="180" w:before="440"/>
      </w:pPr>
      <w:r>
        <w:rPr>
          <w:rFonts w:ascii="Arial" w:cs="Arial" w:eastAsia="Arial" w:hAnsi="Arial"/>
          <w:b/>
          <w:bCs/>
          <w:color w:val="111111"/>
          <w:sz w:val="30"/>
          <w:szCs w:val="30"/>
        </w:rPr>
        <w:t xml:space="preserve">V. Broader Implications if the Predictions Hold</w:t>
      </w:r>
    </w:p>
    <w:p>
      <w:pPr>
        <w:pStyle w:val="Heading2"/>
        <w:spacing w:after="120" w:before="300"/>
      </w:pPr>
      <w:r>
        <w:rPr>
          <w:rFonts w:ascii="Arial" w:cs="Arial" w:eastAsia="Arial" w:hAnsi="Arial"/>
          <w:b/>
          <w:bCs/>
          <w:color w:val="222222"/>
          <w:sz w:val="25"/>
          <w:szCs w:val="25"/>
        </w:rPr>
        <w:t xml:space="preserve">5.1 For Consciousness Science</w:t>
      </w:r>
    </w:p>
    <w:p>
      <w:pPr>
        <w:spacing w:after="160" w:before="0" w:line="360" w:lineRule="auto"/>
        <w:ind w:firstLine="720"/>
        <w:jc w:val="both"/>
      </w:pPr>
      <w:r>
        <w:rPr>
          <w:rFonts w:ascii="Arial" w:cs="Arial" w:eastAsia="Arial" w:hAnsi="Arial"/>
          <w:sz w:val="24"/>
          <w:szCs w:val="24"/>
        </w:rPr>
        <w:t xml:space="preserve">The most significant implication of confirmed Prediction 1 would be for the ongoing debate between IIT and recurrent processing accounts of consciousness. The literature already contains substantial evidence for recurrent processing as a necessary condition for consciousness (Lamme, 2006; Dehaene et al., 2006). What is less established is whether the relevant variable is recurrence per se or specifically second-order recurrence — processing that includes its own processing as an object. The ASO framework draws a principled distinction here that, if supported by evidence, would sharpen the theoretical picture considerably.</w:t>
      </w:r>
    </w:p>
    <w:p>
      <w:pPr>
        <w:spacing w:after="160" w:before="0" w:line="360" w:lineRule="auto"/>
        <w:ind w:firstLine="720"/>
        <w:jc w:val="both"/>
      </w:pPr>
      <w:r>
        <w:rPr>
          <w:rFonts w:ascii="Arial" w:cs="Arial" w:eastAsia="Arial" w:hAnsi="Arial"/>
          <w:sz w:val="24"/>
          <w:szCs w:val="24"/>
        </w:rPr>
        <w:t xml:space="preserve">Confirmed Prediction 2 would provide the first direct evidence that self-referential processing stability — not integration, complexity, or broadcast — is the variable underlying experiential unity. This would have implications for the binding problem that are independent of the philosophical framework motivating the prediction.</w:t>
      </w:r>
    </w:p>
    <w:p>
      <w:pPr>
        <w:pStyle w:val="Heading2"/>
        <w:spacing w:after="120" w:before="300"/>
      </w:pPr>
      <w:r>
        <w:rPr>
          <w:rFonts w:ascii="Arial" w:cs="Arial" w:eastAsia="Arial" w:hAnsi="Arial"/>
          <w:b/>
          <w:bCs/>
          <w:color w:val="222222"/>
          <w:sz w:val="25"/>
          <w:szCs w:val="25"/>
        </w:rPr>
        <w:t xml:space="preserve">5.2 For Political Psychology and Neuroscience</w:t>
      </w:r>
    </w:p>
    <w:p>
      <w:pPr>
        <w:spacing w:after="160" w:before="0" w:line="360" w:lineRule="auto"/>
        <w:ind w:firstLine="720"/>
        <w:jc w:val="both"/>
      </w:pPr>
      <w:r>
        <w:rPr>
          <w:rFonts w:ascii="Arial" w:cs="Arial" w:eastAsia="Arial" w:hAnsi="Arial"/>
          <w:sz w:val="24"/>
          <w:szCs w:val="24"/>
        </w:rPr>
        <w:t xml:space="preserve">Confirmed Prediction 3 would be the most novel contribution to the existing literature. The existing neuroscience of autonomy focuses primarily on reward circuitry and motivation (Ryan and Deci, 2017; Murayama et al., 2019). A finding that chronic autonomy suppression reduces self-referential processing depth — measurable at the neural level and not explained by affect or stress alone — would introduce a new dimension to that literature and would have implications for how we understand the cognitive costs of oppressive conditions that go beyond wellbeing measures.</w:t>
      </w:r>
    </w:p>
    <w:p>
      <w:pPr>
        <w:spacing w:after="160" w:before="0" w:line="360" w:lineRule="auto"/>
        <w:ind w:firstLine="720"/>
        <w:jc w:val="both"/>
      </w:pPr>
      <w:r>
        <w:rPr>
          <w:rFonts w:ascii="Arial" w:cs="Arial" w:eastAsia="Arial" w:hAnsi="Arial"/>
          <w:sz w:val="24"/>
          <w:szCs w:val="24"/>
        </w:rPr>
        <w:t xml:space="preserve">It is important to note that such a finding would have political implications that could be misused. Evidence that freedom suppression reduces self-referential depth could be cited in support of various political positions. The present proposal is not motivated by any political conclusion. The prediction is an implication of a philosophical framework; its confirmation or disconfirmation should be assessed on scientific grounds.</w:t>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pStyle w:val="Heading1"/>
        <w:spacing w:after="180" w:before="440"/>
      </w:pPr>
      <w:r>
        <w:rPr>
          <w:rFonts w:ascii="Arial" w:cs="Arial" w:eastAsia="Arial" w:hAnsi="Arial"/>
          <w:b/>
          <w:bCs/>
          <w:color w:val="111111"/>
          <w:sz w:val="30"/>
          <w:szCs w:val="30"/>
        </w:rPr>
        <w:t xml:space="preserve">VI. Conclusion</w:t>
      </w:r>
    </w:p>
    <w:p>
      <w:pPr>
        <w:spacing w:after="160" w:before="0" w:line="360" w:lineRule="auto"/>
        <w:ind w:firstLine="720"/>
        <w:jc w:val="both"/>
      </w:pPr>
      <w:r>
        <w:rPr>
          <w:rFonts w:ascii="Arial" w:cs="Arial" w:eastAsia="Arial" w:hAnsi="Arial"/>
          <w:sz w:val="24"/>
          <w:szCs w:val="24"/>
        </w:rPr>
        <w:t xml:space="preserve">This research proposal identifies three specific, testable predictions derived from the Theory of Absolute Self-Origination and proposes study designs adequate to test them. The predictions concern: the superiority of second-order self-referential depth over integration measures in predicting conscious presence in dissociation conditions; the relationship between self-referential stability and the robustness of experiential unity; and the effect of chronic autonomy suppression on self-referential depth independently of affect and stress.</w:t>
      </w:r>
    </w:p>
    <w:p>
      <w:pPr>
        <w:spacing w:after="160" w:before="0" w:line="360" w:lineRule="auto"/>
        <w:ind w:firstLine="720"/>
        <w:jc w:val="both"/>
      </w:pPr>
      <w:r>
        <w:rPr>
          <w:rFonts w:ascii="Arial" w:cs="Arial" w:eastAsia="Arial" w:hAnsi="Arial"/>
          <w:sz w:val="24"/>
          <w:szCs w:val="24"/>
        </w:rPr>
        <w:t xml:space="preserve">The proposal has been explicit throughout about what these studies would and would not establish. Confirming the predictions would provide empirical traction for the philosophical framework and would constitute genuine contributions to consciousness science and cognitive neuroscience in their own right. Disconfirming the predictions would not refute the philosophical framework but would reduce its plausibility and motivate its revision.</w:t>
      </w:r>
    </w:p>
    <w:p>
      <w:pPr>
        <w:spacing w:after="160" w:before="0" w:line="360" w:lineRule="auto"/>
        <w:ind w:firstLine="720"/>
        <w:jc w:val="both"/>
      </w:pPr>
      <w:r>
        <w:rPr>
          <w:rFonts w:ascii="Arial" w:cs="Arial" w:eastAsia="Arial" w:hAnsi="Arial"/>
          <w:sz w:val="24"/>
          <w:szCs w:val="24"/>
        </w:rPr>
        <w:t xml:space="preserve">The relationship between philosophy and empirical science in this domain is indirect and requires care. Philosophical frameworks do not generate predictions by themselves — they generate predictions in combination with bridging assumptions about neural realisation. The bridging assumptions are themselves testable and constitute the immediate empirical claims. The philosophical framework provides the theoretical motivation for making those bridging assumptions and the conceptual structure for interpreting the results.</w:t>
      </w:r>
    </w:p>
    <w:p>
      <w:pPr>
        <w:spacing w:after="160" w:before="0" w:line="360" w:lineRule="auto"/>
        <w:ind w:firstLine="720"/>
        <w:jc w:val="both"/>
      </w:pPr>
      <w:r>
        <w:rPr>
          <w:rFonts w:ascii="Arial" w:cs="Arial" w:eastAsia="Arial" w:hAnsi="Arial"/>
          <w:sz w:val="24"/>
          <w:szCs w:val="24"/>
        </w:rPr>
        <w:t xml:space="preserve">That is a legitimate and productive relationship. The present proposal is an attempt to make it explicit, honest, and useful.</w:t>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pStyle w:val="Heading1"/>
        <w:spacing w:after="280" w:before="440"/>
      </w:pPr>
      <w:r>
        <w:rPr>
          <w:rFonts w:ascii="Arial" w:cs="Arial" w:eastAsia="Arial" w:hAnsi="Arial"/>
          <w:b/>
          <w:bCs/>
          <w:sz w:val="30"/>
          <w:szCs w:val="30"/>
        </w:rPr>
        <w:t xml:space="preserve">References</w:t>
      </w:r>
    </w:p>
    <w:p>
      <w:pPr>
        <w:spacing w:after="120" w:before="0" w:line="300" w:lineRule="auto"/>
        <w:ind w:left="720" w:hanging="720"/>
        <w:jc w:val="both"/>
      </w:pPr>
      <w:r>
        <w:rPr>
          <w:rFonts w:ascii="Arial" w:cs="Arial" w:eastAsia="Arial" w:hAnsi="Arial"/>
          <w:sz w:val="21"/>
          <w:szCs w:val="21"/>
        </w:rPr>
        <w:t xml:space="preserve">Arnsten, A. F. T. (2009). Stress signalling pathways that impair prefrontal cortex structure and function. Nature Reviews Neuroscience, 10(6), 410-422.</w:t>
      </w:r>
    </w:p>
    <w:p>
      <w:pPr>
        <w:spacing w:after="120" w:before="0" w:line="300" w:lineRule="auto"/>
        <w:ind w:left="720" w:hanging="720"/>
        <w:jc w:val="both"/>
      </w:pPr>
      <w:r>
        <w:rPr>
          <w:rFonts w:ascii="Arial" w:cs="Arial" w:eastAsia="Arial" w:hAnsi="Arial"/>
          <w:sz w:val="21"/>
          <w:szCs w:val="21"/>
        </w:rPr>
        <w:t xml:space="preserve">Baars, B. J. (1988). A Cognitive Theory of Consciousness. Cambridge University Press, Cambridge.</w:t>
      </w:r>
    </w:p>
    <w:p>
      <w:pPr>
        <w:spacing w:after="120" w:before="0" w:line="300" w:lineRule="auto"/>
        <w:ind w:left="720" w:hanging="720"/>
        <w:jc w:val="both"/>
      </w:pPr>
      <w:r>
        <w:rPr>
          <w:rFonts w:ascii="Arial" w:cs="Arial" w:eastAsia="Arial" w:hAnsi="Arial"/>
          <w:sz w:val="21"/>
          <w:szCs w:val="21"/>
        </w:rPr>
        <w:t xml:space="preserve">Bayne, T. and Chalmers, D. J. (2003). What is the unity of consciousness? In A. Cleeremans (ed.), The Unity of Consciousness. Oxford University Press, Oxford.</w:t>
      </w:r>
    </w:p>
    <w:p>
      <w:pPr>
        <w:spacing w:after="120" w:before="0" w:line="300" w:lineRule="auto"/>
        <w:ind w:left="720" w:hanging="720"/>
        <w:jc w:val="both"/>
      </w:pPr>
      <w:r>
        <w:rPr>
          <w:rFonts w:ascii="Arial" w:cs="Arial" w:eastAsia="Arial" w:hAnsi="Arial"/>
          <w:sz w:val="21"/>
          <w:szCs w:val="21"/>
        </w:rPr>
        <w:t xml:space="preserve">Boly, M. et al. (2013). Consciousness in humans and non-human animals: recent advances and future directions. Frontiers in Psychology, 4, 625.</w:t>
      </w:r>
    </w:p>
    <w:p>
      <w:pPr>
        <w:spacing w:after="120" w:before="0" w:line="300" w:lineRule="auto"/>
        <w:ind w:left="720" w:hanging="720"/>
        <w:jc w:val="both"/>
      </w:pPr>
      <w:r>
        <w:rPr>
          <w:rFonts w:ascii="Arial" w:cs="Arial" w:eastAsia="Arial" w:hAnsi="Arial"/>
          <w:sz w:val="21"/>
          <w:szCs w:val="21"/>
        </w:rPr>
        <w:t xml:space="preserve">Brown, R., Lau, H., and LeDoux, J. E. (2019). Understanding the higher-order approach to consciousness. Trends in Cognitive Sciences, 23(9), 754-768.</w:t>
      </w:r>
    </w:p>
    <w:p>
      <w:pPr>
        <w:spacing w:after="120" w:before="0" w:line="300" w:lineRule="auto"/>
        <w:ind w:left="720" w:hanging="720"/>
        <w:jc w:val="both"/>
      </w:pPr>
      <w:r>
        <w:rPr>
          <w:rFonts w:ascii="Arial" w:cs="Arial" w:eastAsia="Arial" w:hAnsi="Arial"/>
          <w:sz w:val="21"/>
          <w:szCs w:val="21"/>
        </w:rPr>
        <w:t xml:space="preserve">Casali, A. G. et al. (2013). A Theoretically Based Index of Consciousness Independent of Sensory Processing and Behavior. Science Translational Medicine, 5(198), 198ra105.</w:t>
      </w:r>
    </w:p>
    <w:p>
      <w:pPr>
        <w:spacing w:after="120" w:before="0" w:line="300" w:lineRule="auto"/>
        <w:ind w:left="720" w:hanging="720"/>
        <w:jc w:val="both"/>
      </w:pPr>
      <w:r>
        <w:rPr>
          <w:rFonts w:ascii="Arial" w:cs="Arial" w:eastAsia="Arial" w:hAnsi="Arial"/>
          <w:sz w:val="21"/>
          <w:szCs w:val="21"/>
        </w:rPr>
        <w:t xml:space="preserve">Chalmers, D. J. (1995). Facing Up to the Problem of Consciousness. Journal of Consciousness Studies, 2(3), 200-219.</w:t>
      </w:r>
    </w:p>
    <w:p>
      <w:pPr>
        <w:spacing w:after="120" w:before="0" w:line="300" w:lineRule="auto"/>
        <w:ind w:left="720" w:hanging="720"/>
        <w:jc w:val="both"/>
      </w:pPr>
      <w:r>
        <w:rPr>
          <w:rFonts w:ascii="Arial" w:cs="Arial" w:eastAsia="Arial" w:hAnsi="Arial"/>
          <w:sz w:val="21"/>
          <w:szCs w:val="21"/>
        </w:rPr>
        <w:t xml:space="preserve">Chalmers, D. J. (1996). The Conscious Mind: In Search of a Fundamental Theory. Oxford University Press, Oxford.</w:t>
      </w:r>
    </w:p>
    <w:p>
      <w:pPr>
        <w:spacing w:after="120" w:before="0" w:line="300" w:lineRule="auto"/>
        <w:ind w:left="720" w:hanging="720"/>
        <w:jc w:val="both"/>
      </w:pPr>
      <w:r>
        <w:rPr>
          <w:rFonts w:ascii="Arial" w:cs="Arial" w:eastAsia="Arial" w:hAnsi="Arial"/>
          <w:sz w:val="21"/>
          <w:szCs w:val="21"/>
        </w:rPr>
        <w:t xml:space="preserve">Dehaene, S. (2014). Consciousness and the Brain. Viking, New York.</w:t>
      </w:r>
    </w:p>
    <w:p>
      <w:pPr>
        <w:spacing w:after="120" w:before="0" w:line="300" w:lineRule="auto"/>
        <w:ind w:left="720" w:hanging="720"/>
        <w:jc w:val="both"/>
      </w:pPr>
      <w:r>
        <w:rPr>
          <w:rFonts w:ascii="Arial" w:cs="Arial" w:eastAsia="Arial" w:hAnsi="Arial"/>
          <w:sz w:val="21"/>
          <w:szCs w:val="21"/>
        </w:rPr>
        <w:t xml:space="preserve">Dehaene, S., Changeux, J.-P., and Naccache, L. (2011). The Global Neuronal Workspace Model of Conscious Access. In S. Dehaene and Y. Christen (eds.), Characterizing Consciousness. Springer, Berlin.</w:t>
      </w:r>
    </w:p>
    <w:p>
      <w:pPr>
        <w:spacing w:after="120" w:before="0" w:line="300" w:lineRule="auto"/>
        <w:ind w:left="720" w:hanging="720"/>
        <w:jc w:val="both"/>
      </w:pPr>
      <w:r>
        <w:rPr>
          <w:rFonts w:ascii="Arial" w:cs="Arial" w:eastAsia="Arial" w:hAnsi="Arial"/>
          <w:sz w:val="21"/>
          <w:szCs w:val="21"/>
        </w:rPr>
        <w:t xml:space="preserve">Dehaene, S., Changeux, J.-P., Naccache, L., Sackur, J., and Sergent, C. (2006). Conscious, preconscious, and subliminal processing: a testable taxonomy. Trends in Cognitive Sciences, 10(5), 204-211.</w:t>
      </w:r>
    </w:p>
    <w:p>
      <w:pPr>
        <w:spacing w:after="120" w:before="0" w:line="300" w:lineRule="auto"/>
        <w:ind w:left="720" w:hanging="720"/>
        <w:jc w:val="both"/>
      </w:pPr>
      <w:r>
        <w:rPr>
          <w:rFonts w:ascii="Arial" w:cs="Arial" w:eastAsia="Arial" w:hAnsi="Arial"/>
          <w:sz w:val="21"/>
          <w:szCs w:val="21"/>
        </w:rPr>
        <w:t xml:space="preserve">Deci, E. L. and Ryan, R. M. (1985). Intrinsic Motivation and Self-Determination in Human Behavior. Plenum, New York.</w:t>
      </w:r>
    </w:p>
    <w:p>
      <w:pPr>
        <w:spacing w:after="120" w:before="0" w:line="300" w:lineRule="auto"/>
        <w:ind w:left="720" w:hanging="720"/>
        <w:jc w:val="both"/>
      </w:pPr>
      <w:r>
        <w:rPr>
          <w:rFonts w:ascii="Arial" w:cs="Arial" w:eastAsia="Arial" w:hAnsi="Arial"/>
          <w:sz w:val="21"/>
          <w:szCs w:val="21"/>
        </w:rPr>
        <w:t xml:space="preserve">Deci, E. L. and Ryan, R. M. (2000). The What and Why of Goal Pursuits. Psychological Inquiry, 11(4), 227-268.</w:t>
      </w:r>
    </w:p>
    <w:p>
      <w:pPr>
        <w:spacing w:after="120" w:before="0" w:line="300" w:lineRule="auto"/>
        <w:ind w:left="720" w:hanging="720"/>
        <w:jc w:val="both"/>
      </w:pPr>
      <w:r>
        <w:rPr>
          <w:rFonts w:ascii="Arial" w:cs="Arial" w:eastAsia="Arial" w:hAnsi="Arial"/>
          <w:sz w:val="21"/>
          <w:szCs w:val="21"/>
        </w:rPr>
        <w:t xml:space="preserve">Fleming, S. M. and Dolan, R. J. (2012). The neural basis of metacognitive ability. Philosophical Transactions of the Royal Society B, 367(1594), 1338-1349.</w:t>
      </w:r>
    </w:p>
    <w:p>
      <w:pPr>
        <w:spacing w:after="120" w:before="0" w:line="300" w:lineRule="auto"/>
        <w:ind w:left="720" w:hanging="720"/>
        <w:jc w:val="both"/>
      </w:pPr>
      <w:r>
        <w:rPr>
          <w:rFonts w:ascii="Arial" w:cs="Arial" w:eastAsia="Arial" w:hAnsi="Arial"/>
          <w:sz w:val="21"/>
          <w:szCs w:val="21"/>
        </w:rPr>
        <w:t xml:space="preserve">Friston, K. (2010). The free-energy principle: a unified brain theory? Nature Reviews Neuroscience, 11(2), 127-138.</w:t>
      </w:r>
    </w:p>
    <w:p>
      <w:pPr>
        <w:spacing w:after="120" w:before="0" w:line="300" w:lineRule="auto"/>
        <w:ind w:left="720" w:hanging="720"/>
        <w:jc w:val="both"/>
      </w:pPr>
      <w:r>
        <w:rPr>
          <w:rFonts w:ascii="Arial" w:cs="Arial" w:eastAsia="Arial" w:hAnsi="Arial"/>
          <w:sz w:val="21"/>
          <w:szCs w:val="21"/>
        </w:rPr>
        <w:t xml:space="preserve">Lamme, V. A. F. (2006). Towards a true neural stance on consciousness. Trends in Cognitive Sciences, 10(11), 494-501.</w:t>
      </w:r>
    </w:p>
    <w:p>
      <w:pPr>
        <w:spacing w:after="120" w:before="0" w:line="300" w:lineRule="auto"/>
        <w:ind w:left="720" w:hanging="720"/>
        <w:jc w:val="both"/>
      </w:pPr>
      <w:r>
        <w:rPr>
          <w:rFonts w:ascii="Arial" w:cs="Arial" w:eastAsia="Arial" w:hAnsi="Arial"/>
          <w:sz w:val="21"/>
          <w:szCs w:val="21"/>
        </w:rPr>
        <w:t xml:space="preserve">Lau, H. and Rosenthal, D. (2011). Empirical support for higher-order theories of conscious awareness. Trends in Cognitive Sciences, 15(8), 365-373.</w:t>
      </w:r>
    </w:p>
    <w:p>
      <w:pPr>
        <w:spacing w:after="120" w:before="0" w:line="300" w:lineRule="auto"/>
        <w:ind w:left="720" w:hanging="720"/>
        <w:jc w:val="both"/>
      </w:pPr>
      <w:r>
        <w:rPr>
          <w:rFonts w:ascii="Arial" w:cs="Arial" w:eastAsia="Arial" w:hAnsi="Arial"/>
          <w:sz w:val="21"/>
          <w:szCs w:val="21"/>
        </w:rPr>
        <w:t xml:space="preserve">Massimini, M. et al. (2005). Breakdown of cortical effective connectivity during sleep. Science, 309(5744), 2228-2232.</w:t>
      </w:r>
    </w:p>
    <w:p>
      <w:pPr>
        <w:spacing w:after="120" w:before="0" w:line="300" w:lineRule="auto"/>
        <w:ind w:left="720" w:hanging="720"/>
        <w:jc w:val="both"/>
      </w:pPr>
      <w:r>
        <w:rPr>
          <w:rFonts w:ascii="Arial" w:cs="Arial" w:eastAsia="Arial" w:hAnsi="Arial"/>
          <w:sz w:val="21"/>
          <w:szCs w:val="21"/>
        </w:rPr>
        <w:t xml:space="preserve">Mattos, J. C. de (2023). Filosofia das Virtudes: Manifesto das Virtudes. Filosofia das Virtudes, Rio de Janeiro.</w:t>
      </w:r>
    </w:p>
    <w:p>
      <w:pPr>
        <w:spacing w:after="120" w:before="0" w:line="300" w:lineRule="auto"/>
        <w:ind w:left="720" w:hanging="720"/>
        <w:jc w:val="both"/>
      </w:pPr>
      <w:r>
        <w:rPr>
          <w:rFonts w:ascii="Arial" w:cs="Arial" w:eastAsia="Arial" w:hAnsi="Arial"/>
          <w:sz w:val="21"/>
          <w:szCs w:val="21"/>
        </w:rPr>
        <w:t xml:space="preserve">Mattos, J. C. de (2024). The Dynamic Freedom Theorem as a Complete Dynamic System. Filosofia das Virtudes, Merano.</w:t>
      </w:r>
    </w:p>
    <w:p>
      <w:pPr>
        <w:spacing w:after="120" w:before="0" w:line="300" w:lineRule="auto"/>
        <w:ind w:left="720" w:hanging="720"/>
        <w:jc w:val="both"/>
      </w:pPr>
      <w:r>
        <w:rPr>
          <w:rFonts w:ascii="Arial" w:cs="Arial" w:eastAsia="Arial" w:hAnsi="Arial"/>
          <w:sz w:val="21"/>
          <w:szCs w:val="21"/>
        </w:rPr>
        <w:t xml:space="preserve">Mattos, J. C. de (2026). The Method of Frontier Knowledge. Filosofia das Virtudes, Merano.</w:t>
      </w:r>
    </w:p>
    <w:p>
      <w:pPr>
        <w:spacing w:after="120" w:before="0" w:line="300" w:lineRule="auto"/>
        <w:ind w:left="720" w:hanging="720"/>
        <w:jc w:val="both"/>
      </w:pPr>
      <w:r>
        <w:rPr>
          <w:rFonts w:ascii="Arial" w:cs="Arial" w:eastAsia="Arial" w:hAnsi="Arial"/>
          <w:sz w:val="21"/>
          <w:szCs w:val="21"/>
        </w:rPr>
        <w:t xml:space="preserve">Mattos, J. C. de (2026). Absolute Self-Origination: A Systematic Philosophical Framework for Consciousness, Life, Freedom, and Their Ontological Ground. Filosofia das Virtudes, Merano.</w:t>
      </w:r>
    </w:p>
    <w:p>
      <w:pPr>
        <w:spacing w:after="120" w:before="0" w:line="300" w:lineRule="auto"/>
        <w:ind w:left="720" w:hanging="720"/>
        <w:jc w:val="both"/>
      </w:pPr>
      <w:r>
        <w:rPr>
          <w:rFonts w:ascii="Arial" w:cs="Arial" w:eastAsia="Arial" w:hAnsi="Arial"/>
          <w:sz w:val="21"/>
          <w:szCs w:val="21"/>
        </w:rPr>
        <w:t xml:space="preserve">Maturana, H. R. and Varela, F. J. (1980). Autopoiesis and Cognition. D. Reidel, Dordrecht.</w:t>
      </w:r>
    </w:p>
    <w:p>
      <w:pPr>
        <w:spacing w:after="120" w:before="0" w:line="300" w:lineRule="auto"/>
        <w:ind w:left="720" w:hanging="720"/>
        <w:jc w:val="both"/>
      </w:pPr>
      <w:r>
        <w:rPr>
          <w:rFonts w:ascii="Arial" w:cs="Arial" w:eastAsia="Arial" w:hAnsi="Arial"/>
          <w:sz w:val="21"/>
          <w:szCs w:val="21"/>
        </w:rPr>
        <w:t xml:space="preserve">Murayama, K., Izuma, K., Aarts, H., and Kidd, C. (2019). 'Your Choice' motivates you in the first place, but choosing depresses neural activity. Current Biology, 29(8), 1428-1436.</w:t>
      </w:r>
    </w:p>
    <w:p>
      <w:pPr>
        <w:spacing w:after="120" w:before="0" w:line="300" w:lineRule="auto"/>
        <w:ind w:left="720" w:hanging="720"/>
        <w:jc w:val="both"/>
      </w:pPr>
      <w:r>
        <w:rPr>
          <w:rFonts w:ascii="Arial" w:cs="Arial" w:eastAsia="Arial" w:hAnsi="Arial"/>
          <w:sz w:val="21"/>
          <w:szCs w:val="21"/>
        </w:rPr>
        <w:t xml:space="preserve">Nagel, T. (1974). What Is It Like to Be a Bat? Philosophical Review, 83(4), 435-450.</w:t>
      </w:r>
    </w:p>
    <w:p>
      <w:pPr>
        <w:spacing w:after="120" w:before="0" w:line="300" w:lineRule="auto"/>
        <w:ind w:left="720" w:hanging="720"/>
        <w:jc w:val="both"/>
      </w:pPr>
      <w:r>
        <w:rPr>
          <w:rFonts w:ascii="Arial" w:cs="Arial" w:eastAsia="Arial" w:hAnsi="Arial"/>
          <w:sz w:val="21"/>
          <w:szCs w:val="21"/>
        </w:rPr>
        <w:t xml:space="preserve">Northoff, G. and Bermpohl, F. (2004). Cortical midline structures and the self. Trends in Cognitive Sciences, 8(3), 102-107.</w:t>
      </w:r>
    </w:p>
    <w:p>
      <w:pPr>
        <w:spacing w:after="120" w:before="0" w:line="300" w:lineRule="auto"/>
        <w:ind w:left="720" w:hanging="720"/>
        <w:jc w:val="both"/>
      </w:pPr>
      <w:r>
        <w:rPr>
          <w:rFonts w:ascii="Arial" w:cs="Arial" w:eastAsia="Arial" w:hAnsi="Arial"/>
          <w:sz w:val="21"/>
          <w:szCs w:val="21"/>
        </w:rPr>
        <w:t xml:space="preserve">Rosanova, M. et al. (2012). Natural frequencies of human corticothalamic circuits. Journal of Neuroscience, 29(24), 7679-7685.</w:t>
      </w:r>
    </w:p>
    <w:p>
      <w:pPr>
        <w:spacing w:after="120" w:before="0" w:line="300" w:lineRule="auto"/>
        <w:ind w:left="720" w:hanging="720"/>
        <w:jc w:val="both"/>
      </w:pPr>
      <w:r>
        <w:rPr>
          <w:rFonts w:ascii="Arial" w:cs="Arial" w:eastAsia="Arial" w:hAnsi="Arial"/>
          <w:sz w:val="21"/>
          <w:szCs w:val="21"/>
        </w:rPr>
        <w:t xml:space="preserve">Rosenthal, D. M. (2005). Consciousness and Mind. Oxford University Press, Oxford.</w:t>
      </w:r>
    </w:p>
    <w:p>
      <w:pPr>
        <w:spacing w:after="120" w:before="0" w:line="300" w:lineRule="auto"/>
        <w:ind w:left="720" w:hanging="720"/>
        <w:jc w:val="both"/>
      </w:pPr>
      <w:r>
        <w:rPr>
          <w:rFonts w:ascii="Arial" w:cs="Arial" w:eastAsia="Arial" w:hAnsi="Arial"/>
          <w:sz w:val="21"/>
          <w:szCs w:val="21"/>
        </w:rPr>
        <w:t xml:space="preserve">Ryan, R. M. and Deci, E. L. (2017). Self-Determination Theory: Basic Psychological Needs in Motivation, Development, and Wellness. Guilford Press, New York.</w:t>
      </w:r>
    </w:p>
    <w:p>
      <w:pPr>
        <w:spacing w:after="120" w:before="0" w:line="300" w:lineRule="auto"/>
        <w:ind w:left="720" w:hanging="720"/>
        <w:jc w:val="both"/>
      </w:pPr>
      <w:r>
        <w:rPr>
          <w:rFonts w:ascii="Arial" w:cs="Arial" w:eastAsia="Arial" w:hAnsi="Arial"/>
          <w:sz w:val="21"/>
          <w:szCs w:val="21"/>
        </w:rPr>
        <w:t xml:space="preserve">Sarasso, S. et al. (2015). Consciousness and Complexity during Unresponsiveness Induced by Propofol, Xenon, and Ketamine. Current Biology, 25(23), 3099-3105.</w:t>
      </w:r>
    </w:p>
    <w:p>
      <w:pPr>
        <w:spacing w:after="120" w:before="0" w:line="300" w:lineRule="auto"/>
        <w:ind w:left="720" w:hanging="720"/>
        <w:jc w:val="both"/>
      </w:pPr>
      <w:r>
        <w:rPr>
          <w:rFonts w:ascii="Arial" w:cs="Arial" w:eastAsia="Arial" w:hAnsi="Arial"/>
          <w:sz w:val="21"/>
          <w:szCs w:val="21"/>
        </w:rPr>
        <w:t xml:space="preserve">Siclari, F. et al. (2016). Dreaming in NREM sleep: a high-density EEG study of slow waves and spindles. Journal of Neuroscience, 34(13), 4428-4442.</w:t>
      </w:r>
    </w:p>
    <w:p>
      <w:pPr>
        <w:spacing w:after="120" w:before="0" w:line="300" w:lineRule="auto"/>
        <w:ind w:left="720" w:hanging="720"/>
        <w:jc w:val="both"/>
      </w:pPr>
      <w:r>
        <w:rPr>
          <w:rFonts w:ascii="Arial" w:cs="Arial" w:eastAsia="Arial" w:hAnsi="Arial"/>
          <w:sz w:val="21"/>
          <w:szCs w:val="21"/>
        </w:rPr>
        <w:t xml:space="preserve">Tononi, G. (2004). An information integration theory of consciousness. BMC Neuroscience, 5(42).</w:t>
      </w:r>
    </w:p>
    <w:p>
      <w:pPr>
        <w:spacing w:after="120" w:before="0" w:line="300" w:lineRule="auto"/>
        <w:ind w:left="720" w:hanging="720"/>
        <w:jc w:val="both"/>
      </w:pPr>
      <w:r>
        <w:rPr>
          <w:rFonts w:ascii="Arial" w:cs="Arial" w:eastAsia="Arial" w:hAnsi="Arial"/>
          <w:sz w:val="21"/>
          <w:szCs w:val="21"/>
        </w:rPr>
        <w:t xml:space="preserve">Tononi, G. (2008). Consciousness as Integrated Information: a Provisional Manifesto. Biological Bulletin, 215(3), 216-242.</w:t>
      </w:r>
    </w:p>
    <w:p>
      <w:pPr>
        <w:spacing w:after="120" w:before="0" w:line="300" w:lineRule="auto"/>
        <w:ind w:left="720" w:hanging="720"/>
        <w:jc w:val="both"/>
      </w:pPr>
      <w:r>
        <w:rPr>
          <w:rFonts w:ascii="Arial" w:cs="Arial" w:eastAsia="Arial" w:hAnsi="Arial"/>
          <w:sz w:val="21"/>
          <w:szCs w:val="21"/>
        </w:rPr>
        <w:t xml:space="preserve">Tononi, G., Boly, M., Massimini, M., and Koch, C. (2016). Integrated information theory: from consciousness to its physical substrate. Nature Reviews Neuroscience, 17(7), 450-461.</w:t>
      </w:r>
    </w:p>
    <w:p>
      <w:pPr>
        <w:spacing w:after="120" w:before="0" w:line="300" w:lineRule="auto"/>
        <w:ind w:left="720" w:hanging="720"/>
        <w:jc w:val="both"/>
      </w:pPr>
      <w:r>
        <w:rPr>
          <w:rFonts w:ascii="Arial" w:cs="Arial" w:eastAsia="Arial" w:hAnsi="Arial"/>
          <w:sz w:val="21"/>
          <w:szCs w:val="21"/>
        </w:rPr>
        <w:t xml:space="preserve">Tononi, G. and Koch, C. (2015). Consciousness: here, there and everywhere? Philosophical Transactions of the Royal Society B, 370(1668), 20140167.</w:t>
      </w:r>
    </w:p>
    <w:p>
      <w:pPr>
        <w:spacing w:after="120" w:before="0" w:line="300" w:lineRule="auto"/>
        <w:ind w:left="720" w:hanging="720"/>
        <w:jc w:val="both"/>
      </w:pPr>
      <w:r>
        <w:rPr>
          <w:rFonts w:ascii="Arial" w:cs="Arial" w:eastAsia="Arial" w:hAnsi="Arial"/>
          <w:sz w:val="21"/>
          <w:szCs w:val="21"/>
        </w:rPr>
        <w:t xml:space="preserve">Varela, F. J., Thompson, E., and Rosch, E. (1991). The Embodied Mind. MIT Press, Cambridge, MA.</w:t>
      </w:r>
    </w:p>
    <w:p>
      <w:pPr>
        <w:spacing w:after="120" w:before="0" w:line="300" w:lineRule="auto"/>
        <w:ind w:left="720" w:hanging="720"/>
        <w:jc w:val="both"/>
      </w:pPr>
      <w:r>
        <w:rPr>
          <w:rFonts w:ascii="Arial" w:cs="Arial" w:eastAsia="Arial" w:hAnsi="Arial"/>
          <w:sz w:val="21"/>
          <w:szCs w:val="21"/>
        </w:rPr>
        <w:t xml:space="preserve">Wassermann, E. M. (1998). Risk and safety of repetitive transcranial magnetic stimulation: report and suggested guidelines from the International Workshop on the Safety of Repetitive Transcranial Magnetic Stimulation, June 5-7, 1996. Electroencephalography and Clinical Neurophysiology, 108(1), 1-16.</w:t>
      </w:r>
    </w:p>
    <w:p>
      <w:pPr>
        <w:spacing w:after="120" w:before="0" w:line="300" w:lineRule="auto"/>
        <w:ind w:left="720" w:hanging="720"/>
        <w:jc w:val="both"/>
      </w:pPr>
      <w:r>
        <w:rPr>
          <w:rFonts w:ascii="Arial" w:cs="Arial" w:eastAsia="Arial" w:hAnsi="Arial"/>
          <w:sz w:val="21"/>
          <w:szCs w:val="21"/>
        </w:rPr>
        <w:t xml:space="preserve">Zahavi, D. (2005). Subjectivity and Selfhood: Investigating the First-Person Perspective. MIT Press, Cambridge, MA.</w:t>
      </w:r>
    </w:p>
    <w:p>
      <w:pPr>
        <w:spacing w:after="100" w:before="0"/>
      </w:pPr>
      <w:r>
        <w:rPr>
          <w:sz w:val="24"/>
          <w:szCs w:val="24"/>
        </w:rPr>
        <w:t xml:space="preserve"/>
      </w:r>
    </w:p>
    <w:p>
      <w:pPr>
        <w:pBdr>
          <w:bottom w:val="single" w:color="CCCCCC" w:sz="4" w:space="1"/>
        </w:pBdr>
        <w:spacing w:after="220" w:before="220"/>
      </w:pPr>
      <w:r>
        <w:rPr>
          <w:sz w:val="8"/>
          <w:szCs w:val="8"/>
        </w:rPr>
        <w:t xml:space="preserve"/>
      </w:r>
    </w:p>
    <w:p>
      <w:pPr>
        <w:spacing w:after="100" w:before="0"/>
      </w:pPr>
      <w:r>
        <w:rPr>
          <w:sz w:val="24"/>
          <w:szCs w:val="24"/>
        </w:rPr>
        <w:t xml:space="preserve"/>
      </w:r>
    </w:p>
    <w:p>
      <w:pPr>
        <w:spacing w:after="200" w:before="200"/>
        <w:jc w:val="center"/>
      </w:pPr>
      <w:r>
        <w:rPr>
          <w:rFonts w:ascii="Arial" w:cs="Arial" w:eastAsia="Arial" w:hAnsi="Arial"/>
          <w:color w:val="888888"/>
          <w:sz w:val="22"/>
          <w:szCs w:val="22"/>
        </w:rPr>
        <w:t xml:space="preserve">✦</w:t>
      </w:r>
    </w:p>
    <w:p>
      <w:pPr>
        <w:spacing w:after="60" w:before="0"/>
        <w:jc w:val="center"/>
      </w:pPr>
      <w:r>
        <w:rPr>
          <w:rFonts w:ascii="Arial" w:cs="Arial" w:eastAsia="Arial" w:hAnsi="Arial"/>
          <w:i/>
          <w:iCs/>
          <w:color w:val="666666"/>
          <w:sz w:val="20"/>
          <w:szCs w:val="20"/>
        </w:rPr>
        <w:t xml:space="preserve">Filosofia das Virtudes  ·  Jose Caetano de Mattos</w:t>
      </w:r>
    </w:p>
    <w:p>
      <w:pPr>
        <w:spacing w:after="100" w:before="0"/>
        <w:jc w:val="center"/>
      </w:pPr>
      <w:r>
        <w:rPr>
          <w:rFonts w:ascii="Arial" w:cs="Arial" w:eastAsia="Arial" w:hAnsi="Arial"/>
          <w:color w:val="999999"/>
          <w:sz w:val="18"/>
          <w:szCs w:val="18"/>
        </w:rPr>
        <w:t xml:space="preserve">Rio de Janeiro, 2023  ·  Merano,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1"/>
      </w:pBdr>
      <w:jc w:val="center"/>
    </w:pPr>
    <w:r>
      <w:rPr>
        <w:rFonts w:ascii="Arial" w:cs="Arial" w:eastAsia="Arial" w:hAnsi="Arial"/>
        <w:color w:val="AAAAAA"/>
        <w:sz w:val="18"/>
        <w:szCs w:val="18"/>
      </w:rPr>
      <w:t xml:space="preserve">— </w:t>
    </w:r>
    <w:r>
      <w:rPr>
        <w:rFonts w:ascii="Arial" w:cs="Arial" w:eastAsia="Arial" w:hAnsi="Arial"/>
        <w:color w:val="AAAAAA"/>
        <w:sz w:val="18"/>
        <w:szCs w:val="18"/>
      </w:rPr>
      <w:fldChar w:fldCharType="begin"/>
      <w:instrText xml:space="preserve">PAGE</w:instrText>
      <w:fldChar w:fldCharType="separate"/>
      <w:fldChar w:fldCharType="end"/>
    </w:r>
    <w:r>
      <w:rPr>
        <w:rFonts w:ascii="Arial" w:cs="Arial" w:eastAsia="Arial" w:hAnsi="Arial"/>
        <w:color w:val="AAAAA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1"/>
      </w:pBdr>
      <w:jc w:val="right"/>
    </w:pPr>
    <w:r>
      <w:rPr>
        <w:rFonts w:ascii="Arial" w:cs="Arial" w:eastAsia="Arial" w:hAnsi="Arial"/>
        <w:i/>
        <w:iCs/>
        <w:color w:val="999999"/>
        <w:sz w:val="18"/>
        <w:szCs w:val="18"/>
      </w:rPr>
      <w:t xml:space="preserve">ASO Research Proposal — Mattos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40"/>
      <w:outlineLvl w:val="0"/>
    </w:pPr>
    <w:rPr>
      <w:rFonts w:ascii="Arial" w:cs="Arial" w:eastAsia="Arial" w:hAnsi="Arial"/>
      <w:b/>
      <w:bCs/>
      <w:color w:val="111111"/>
      <w:sz w:val="30"/>
      <w:szCs w:val="30"/>
    </w:rPr>
  </w:style>
  <w:style w:type="paragraph" w:styleId="Heading2">
    <w:name w:val="Heading 2"/>
    <w:basedOn w:val="Normal"/>
    <w:next w:val="Normal"/>
    <w:qFormat/>
    <w:pPr>
      <w:spacing w:after="120" w:before="300"/>
      <w:outlineLvl w:val="1"/>
    </w:pPr>
    <w:rPr>
      <w:rFonts w:ascii="Arial" w:cs="Arial" w:eastAsia="Arial" w:hAnsi="Arial"/>
      <w:b/>
      <w:bCs/>
      <w:color w:val="222222"/>
      <w:sz w:val="25"/>
      <w:szCs w:val="25"/>
    </w:rPr>
  </w:style>
  <w:style w:type="paragraph" w:styleId="Heading3">
    <w:name w:val="Heading 3"/>
    <w:basedOn w:val="Normal"/>
    <w:next w:val="Normal"/>
    <w:qFormat/>
    <w:pPr>
      <w:spacing w:after="100" w:before="220"/>
      <w:outlineLvl w:val="2"/>
    </w:pPr>
    <w:rPr>
      <w:rFonts w:ascii="Arial" w:cs="Arial" w:eastAsia="Arial" w:hAnsi="Arial"/>
      <w:b/>
      <w:bCs/>
      <w:i/>
      <w:i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2026-05-10T15:27:41.125Z</dcterms:created>
  <dcterms:modified xsi:type="dcterms:W3CDTF">2026-05-10T15:27:41.127Z</dcterms:modified>
</cp:coreProperties>
</file>

<file path=docProps/custom.xml><?xml version="1.0" encoding="utf-8"?>
<Properties xmlns="http://schemas.openxmlformats.org/officeDocument/2006/custom-properties" xmlns:vt="http://schemas.openxmlformats.org/officeDocument/2006/docPropsVTypes"/>
</file>