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40" w:after="120"/>
        <w:jc w:val="center"/>
      </w:pPr>
      <w:r>
        <w:rPr>
          <w:rFonts w:ascii="Arial" w:cs="Arial" w:eastAsia="Arial" w:hAnsi="Arial"/>
          <w:b/>
          <w:bCs/>
          <w:color w:val="B71C1C"/>
          <w:sz w:val="56"/>
          <w:szCs w:val="56"/>
        </w:rPr>
        <w:t xml:space="preserve">HOLOVICEOSE</w:t>
      </w:r>
    </w:p>
    <w:p>
      <w:pPr>
        <w:spacing w:before="60" w:after="60"/>
        <w:jc w:val="center"/>
      </w:pPr>
      <w:r>
        <w:rPr>
          <w:rFonts w:ascii="Arial" w:cs="Arial" w:eastAsia="Arial" w:hAnsi="Arial"/>
          <w:i/>
          <w:iCs/>
          <w:color w:val="8B6914"/>
          <w:sz w:val="32"/>
          <w:szCs w:val="32"/>
        </w:rPr>
        <w:t xml:space="preserve">The Invisible Genocide</w:t>
      </w:r>
    </w:p>
    <w:p>
      <w:pPr>
        <w:spacing w:before="360" w:after="80"/>
        <w:jc w:val="center"/>
      </w:pPr>
      <w:r>
        <w:rPr>
          <w:rFonts w:ascii="Arial" w:cs="Arial" w:eastAsia="Arial" w:hAnsi="Arial"/>
          <w:b/>
          <w:bCs/>
          <w:color w:val="1A1A2E"/>
          <w:sz w:val="28"/>
          <w:szCs w:val="28"/>
        </w:rPr>
        <w:t xml:space="preserve">STATISTICAL EVIDENCE REPORT</w:t>
      </w:r>
    </w:p>
    <w:p>
      <w:pPr>
        <w:spacing w:before="40" w:after="80"/>
        <w:jc w:val="center"/>
      </w:pPr>
      <w:r>
        <w:rPr>
          <w:rFonts w:ascii="Arial" w:cs="Arial" w:eastAsia="Arial" w:hAnsi="Arial"/>
          <w:i/>
          <w:iCs/>
          <w:color w:val="555555"/>
          <w:sz w:val="22"/>
          <w:szCs w:val="22"/>
        </w:rPr>
        <w:t xml:space="preserve">Global data on Road Traffic Deaths · Homicide &amp; Robbery · Preventable Child Mortality · Abortion</w:t>
      </w:r>
    </w:p>
    <w:p>
      <w:pPr>
        <w:spacing w:before="40" w:after="80"/>
        <w:jc w:val="center"/>
      </w:pPr>
      <w:r>
        <w:rPr>
          <w:rFonts w:ascii="Arial" w:cs="Arial" w:eastAsia="Arial" w:hAnsi="Arial"/>
          <w:i/>
          <w:iCs/>
          <w:color w:val="777777"/>
          <w:sz w:val="20"/>
          <w:szCs w:val="20"/>
        </w:rPr>
        <w:t xml:space="preserve">in support of the concept introduced in  Filosofia das Virtudes  by José Caetano de Mattos</w:t>
      </w:r>
    </w:p>
    <w:p>
      <w:pPr>
        <w:spacing w:before="60" w:after="720"/>
        <w:jc w:val="center"/>
      </w:pPr>
      <w:r>
        <w:rPr>
          <w:rFonts w:ascii="Arial" w:cs="Arial" w:eastAsia="Arial" w:hAnsi="Arial"/>
          <w:color w:val="999999"/>
          <w:sz w:val="19"/>
          <w:szCs w:val="19"/>
        </w:rPr>
        <w:t xml:space="preserve">Sources: WHO · UNICEF · UNODC · World Bank · Guttmacher Institute · The Lancet  ·  March 2026</w:t>
      </w:r>
    </w:p>
    <w:p>
      <w:r>
        <w:br w:type="page"/>
      </w:r>
    </w:p>
    <w:p>
      <w:pPr>
        <w:pStyle w:val="Heading1"/>
        <w:pBdr>
          <w:bottom w:val="single" w:color="B71C1C" w:sz="4" w:space="6"/>
        </w:pBdr>
        <w:spacing w:before="360" w:after="180"/>
      </w:pPr>
      <w:r>
        <w:rPr>
          <w:rFonts w:ascii="Arial" w:cs="Arial" w:eastAsia="Arial" w:hAnsi="Arial"/>
          <w:b/>
          <w:bCs/>
          <w:color w:val="B71C1C"/>
          <w:sz w:val="32"/>
          <w:szCs w:val="32"/>
        </w:rPr>
        <w:t xml:space="preserve">The Holoviceose Concept</w:t>
      </w:r>
    </w:p>
    <w:p>
      <w:pPr>
        <w:pBdr>
          <w:left w:val="single" w:color="B71C1C" w:sz="6" w:space="12"/>
        </w:pBdr>
        <w:spacing w:before="120" w:after="120"/>
        <w:ind w:left="720" w:right="360"/>
      </w:pPr>
      <w:r>
        <w:rPr>
          <w:rFonts w:ascii="Arial" w:cs="Arial" w:eastAsia="Arial" w:hAnsi="Arial"/>
          <w:i/>
          <w:iCs/>
          <w:color w:val="444444"/>
          <w:sz w:val="20"/>
          <w:szCs w:val="20"/>
        </w:rPr>
        <w:t xml:space="preserve">"Holoviceose é a condição de morte e subjugação do povo pela substituição sistemática das Virtudes por vícios, num processo de coexistência contraditória necessário para a manutenção do sistema de poder."</w:t>
      </w:r>
    </w:p>
    <w:p>
      <w:pPr>
        <w:spacing w:before="40" w:after="80"/>
        <w:ind w:left="720"/>
      </w:pPr>
      <w:r>
        <w:rPr>
          <w:rFonts w:ascii="Arial" w:cs="Arial" w:eastAsia="Arial" w:hAnsi="Arial"/>
          <w:i/>
          <w:iCs/>
          <w:color w:val="777777"/>
          <w:sz w:val="18"/>
          <w:szCs w:val="18"/>
        </w:rPr>
        <w:t xml:space="preserve">— Source: José Caetano de Mattos, Filosofia das Virtudes (2023)</w:t>
      </w:r>
    </w:p>
    <w:p>
      <w:pPr>
        <w:spacing w:before="60" w:after="60"/>
      </w:pPr>
      <w:r>
        <w:t xml:space="preserve"/>
      </w:r>
    </w:p>
    <w:p>
      <w:pPr>
        <w:spacing w:before="80" w:after="120"/>
        <w:jc w:val="both"/>
      </w:pPr>
      <w:r>
        <w:rPr>
          <w:rFonts w:ascii="Arial" w:cs="Arial" w:eastAsia="Arial" w:hAnsi="Arial"/>
          <w:color w:val="1A1A2E"/>
          <w:sz w:val="22"/>
          <w:szCs w:val="22"/>
        </w:rPr>
        <w:t xml:space="preserve">Holoviceose is the condition of death and subjugation of a people through the systematic replacement of Virtues by vices — a deliberate political strategy, not mere moral decay. Its defining feature is that the resulting mass death is rendered invisible by diffusion: rather than being concentrated in a camp or a battlefield, it is spread across road accidents, hospital queues, gang violence, preventable childhood illness, and other ordinary social life categories that are never counted together.</w:t>
      </w:r>
    </w:p>
    <w:p>
      <w:pPr>
        <w:spacing w:before="60" w:after="60"/>
      </w:pPr>
      <w:r>
        <w:t xml:space="preserve"/>
      </w:r>
    </w:p>
    <w:p>
      <w:pPr>
        <w:spacing w:before="80" w:after="120"/>
        <w:jc w:val="both"/>
      </w:pPr>
      <w:r>
        <w:rPr>
          <w:rFonts w:ascii="Arial" w:cs="Arial" w:eastAsia="Arial" w:hAnsi="Arial"/>
          <w:b w:val="false"/>
          <w:bCs w:val="false"/>
          <w:color w:val="1A1A2E"/>
          <w:sz w:val="22"/>
          <w:szCs w:val="22"/>
        </w:rPr>
        <w:t xml:space="preserve">The concept combines four elements no single prior concept captured simultaneously:</w:t>
      </w:r>
    </w:p>
    <w:p>
      <w:pPr>
        <w:pStyle w:val="ListParagraph"/>
        <w:numPr>
          <w:ilvl w:val="0"/>
          <w:numId w:val="2"/>
        </w:numPr>
        <w:spacing w:before="60" w:after="60"/>
      </w:pPr>
      <w:r>
        <w:rPr>
          <w:rFonts w:ascii="Arial" w:cs="Arial" w:eastAsia="Arial" w:hAnsi="Arial"/>
          <w:color w:val="1A1A2E"/>
          <w:sz w:val="22"/>
          <w:szCs w:val="22"/>
        </w:rPr>
        <w:t xml:space="preserve">Deliberate planning — the structural conditions causing mass death are actively maintained, not accidental.</w:t>
      </w:r>
    </w:p>
    <w:p>
      <w:pPr>
        <w:pStyle w:val="ListParagraph"/>
        <w:numPr>
          <w:ilvl w:val="0"/>
          <w:numId w:val="2"/>
        </w:numPr>
        <w:spacing w:before="60" w:after="60"/>
      </w:pPr>
      <w:r>
        <w:rPr>
          <w:rFonts w:ascii="Arial" w:cs="Arial" w:eastAsia="Arial" w:hAnsi="Arial"/>
          <w:color w:val="1A1A2E"/>
          <w:sz w:val="22"/>
          <w:szCs w:val="22"/>
        </w:rPr>
        <w:t xml:space="preserve">Co-functional good/evil — the same system that encourages charity stimulates the poverty that makes charity necessary.</w:t>
      </w:r>
    </w:p>
    <w:p>
      <w:pPr>
        <w:pStyle w:val="ListParagraph"/>
        <w:numPr>
          <w:ilvl w:val="0"/>
          <w:numId w:val="2"/>
        </w:numPr>
        <w:spacing w:before="60" w:after="60"/>
      </w:pPr>
      <w:r>
        <w:rPr>
          <w:rFonts w:ascii="Arial" w:cs="Arial" w:eastAsia="Arial" w:hAnsi="Arial"/>
          <w:color w:val="1A1A2E"/>
          <w:sz w:val="22"/>
          <w:szCs w:val="22"/>
        </w:rPr>
        <w:t xml:space="preserve">Diffuse mass death — the mortality is real, statistically massive, but politically invisible because no single agent or event is blamed.</w:t>
      </w:r>
    </w:p>
    <w:p>
      <w:pPr>
        <w:pStyle w:val="ListParagraph"/>
        <w:numPr>
          <w:ilvl w:val="0"/>
          <w:numId w:val="2"/>
        </w:numPr>
        <w:spacing w:before="60" w:after="60"/>
      </w:pPr>
      <w:r>
        <w:rPr>
          <w:rFonts w:ascii="Arial" w:cs="Arial" w:eastAsia="Arial" w:hAnsi="Arial"/>
          <w:color w:val="1A1A2E"/>
          <w:sz w:val="22"/>
          <w:szCs w:val="22"/>
        </w:rPr>
        <w:t xml:space="preserve">Virtue-ontological grounding — the destruction is not merely economic or political but specifically targets the capacity of people to act virtuously and freely.</w:t>
      </w:r>
    </w:p>
    <w:p>
      <w:pPr>
        <w:spacing w:before="60" w:after="60"/>
      </w:pPr>
      <w:r>
        <w:t xml:space="preserve"/>
      </w:r>
    </w:p>
    <w:p>
      <w:pPr>
        <w:pBdr>
          <w:top w:val="single" w:color="B71C1C" w:sz="3" w:space="6"/>
          <w:bottom w:val="single" w:color="B71C1C" w:sz="3" w:space="6"/>
          <w:left w:val="single" w:color="B71C1C" w:sz="3" w:space="8"/>
          <w:right w:val="single" w:color="B71C1C" w:sz="3" w:space="8"/>
        </w:pBdr>
        <w:shd w:fill="FFF0F0" w:val="clear"/>
        <w:spacing w:before="120" w:after="120"/>
        <w:ind w:left="240" w:right="240"/>
        <w:jc w:val="center"/>
      </w:pPr>
      <w:r>
        <w:rPr>
          <w:rFonts w:ascii="Arial" w:cs="Arial" w:eastAsia="Arial" w:hAnsi="Arial"/>
          <w:b/>
          <w:bCs/>
          <w:color w:val="B71C1C"/>
          <w:sz w:val="22"/>
          <w:szCs w:val="22"/>
        </w:rPr>
        <w:t xml:space="preserve">This report assembles the global statistics that prove Holoviceose is not a metaphor — it is a measurable, ongoing, preventable mass-death event.</w:t>
      </w:r>
    </w:p>
    <w:p>
      <w:pPr>
        <w:spacing w:before="60" w:after="60"/>
      </w:pPr>
      <w:r>
        <w:t xml:space="preserve"/>
      </w:r>
    </w:p>
    <w:p>
      <w:pPr>
        <w:pStyle w:val="Heading1"/>
        <w:pBdr>
          <w:bottom w:val="single" w:color="B71C1C" w:sz="4" w:space="6"/>
        </w:pBdr>
        <w:spacing w:before="360" w:after="180"/>
      </w:pPr>
      <w:r>
        <w:rPr>
          <w:rFonts w:ascii="Arial" w:cs="Arial" w:eastAsia="Arial" w:hAnsi="Arial"/>
          <w:b/>
          <w:bCs/>
          <w:color w:val="B71C1C"/>
          <w:sz w:val="32"/>
          <w:szCs w:val="32"/>
        </w:rPr>
        <w:t xml:space="preserve">I. The Holoviceose Scorecard — Annual Global Deaths</w:t>
      </w:r>
    </w:p>
    <w:p>
      <w:pPr>
        <w:spacing w:before="80" w:after="120"/>
        <w:jc w:val="both"/>
      </w:pPr>
      <w:r>
        <w:rPr>
          <w:rFonts w:ascii="Arial" w:cs="Arial" w:eastAsia="Arial" w:hAnsi="Arial"/>
          <w:color w:val="1A1A2E"/>
          <w:sz w:val="22"/>
          <w:szCs w:val="22"/>
        </w:rPr>
        <w:t xml:space="preserve">The following table aggregates annual mortality data from the world's leading health and security organisations. Together, these figures constitute the empirical signature of Holoviceose: millions of preventable deaths that are structurally produced, politically invisible, and never counted as a single phenomenon.</w:t>
      </w:r>
    </w:p>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2500"/>
        <w:gridCol w:w="3660"/>
      </w:tblGrid>
      <w:tr>
        <w:trPr>
          <w:tblHeader/>
        </w:trPr>
        <w:tc>
          <w:tcPr>
            <w:tcW w:type="dxa" w:w="3200"/>
            <w:tcBorders>
              <w:top w:val="single" w:color="CCCCCC" w:sz="1"/>
              <w:left w:val="single" w:color="CCCCCC" w:sz="1"/>
              <w:bottom w:val="single" w:color="CCCCCC" w:sz="1"/>
              <w:right w:val="single" w:color="CCCCCC" w:sz="1"/>
            </w:tcBorders>
            <w:shd w:fill="1A1A2E" w:val="clear"/>
            <w:tcMar>
              <w:top w:type="dxa" w:w="100"/>
              <w:left w:type="dxa" w:w="150"/>
              <w:bottom w:type="dxa" w:w="100"/>
              <w:right w:type="dxa" w:w="150"/>
            </w:tcMar>
          </w:tcPr>
          <w:p>
            <w:r>
              <w:rPr>
                <w:rFonts w:ascii="Arial" w:cs="Arial" w:eastAsia="Arial" w:hAnsi="Arial"/>
                <w:b/>
                <w:bCs/>
                <w:color w:val="FFFFFF"/>
                <w:sz w:val="20"/>
                <w:szCs w:val="20"/>
              </w:rPr>
              <w:t xml:space="preserve">Category</w:t>
            </w:r>
          </w:p>
        </w:tc>
        <w:tc>
          <w:tcPr>
            <w:tcW w:type="dxa" w:w="2500"/>
            <w:tcBorders>
              <w:top w:val="single" w:color="CCCCCC" w:sz="1"/>
              <w:left w:val="single" w:color="CCCCCC" w:sz="1"/>
              <w:bottom w:val="single" w:color="CCCCCC" w:sz="1"/>
              <w:right w:val="single" w:color="CCCCCC" w:sz="1"/>
            </w:tcBorders>
            <w:shd w:fill="1A1A2E" w:val="clear"/>
            <w:tcMar>
              <w:top w:type="dxa" w:w="100"/>
              <w:left w:type="dxa" w:w="150"/>
              <w:bottom w:type="dxa" w:w="100"/>
              <w:right w:type="dxa" w:w="150"/>
            </w:tcMar>
          </w:tcPr>
          <w:p>
            <w:pPr>
              <w:jc w:val="center"/>
            </w:pPr>
            <w:r>
              <w:rPr>
                <w:rFonts w:ascii="Arial" w:cs="Arial" w:eastAsia="Arial" w:hAnsi="Arial"/>
                <w:b/>
                <w:bCs/>
                <w:color w:val="FFFFFF"/>
                <w:sz w:val="20"/>
                <w:szCs w:val="20"/>
              </w:rPr>
              <w:t xml:space="preserve">Annual Deaths</w:t>
            </w:r>
          </w:p>
        </w:tc>
        <w:tc>
          <w:tcPr>
            <w:tcW w:type="dxa" w:w="3660"/>
            <w:tcBorders>
              <w:top w:val="single" w:color="CCCCCC" w:sz="1"/>
              <w:left w:val="single" w:color="CCCCCC" w:sz="1"/>
              <w:bottom w:val="single" w:color="CCCCCC" w:sz="1"/>
              <w:right w:val="single" w:color="CCCCCC" w:sz="1"/>
            </w:tcBorders>
            <w:shd w:fill="1A1A2E" w:val="clear"/>
            <w:tcMar>
              <w:top w:type="dxa" w:w="100"/>
              <w:left w:type="dxa" w:w="150"/>
              <w:bottom w:type="dxa" w:w="100"/>
              <w:right w:type="dxa" w:w="150"/>
            </w:tcMar>
          </w:tcPr>
          <w:p>
            <w:r>
              <w:rPr>
                <w:rFonts w:ascii="Arial" w:cs="Arial" w:eastAsia="Arial" w:hAnsi="Arial"/>
                <w:b/>
                <w:bCs/>
                <w:color w:val="FFFFFF"/>
                <w:sz w:val="20"/>
                <w:szCs w:val="20"/>
              </w:rPr>
              <w:t xml:space="preserve">Key Finding</w:t>
            </w:r>
          </w:p>
        </w:tc>
      </w:tr>
      <w:tr>
        <w:tc>
          <w:tcPr>
            <w:tcW w:type="dxa" w:w="3200"/>
            <w:tcBorders>
              <w:top w:val="single" w:color="CCCCCC" w:sz="1"/>
              <w:left w:val="single" w:color="CCCCCC" w:sz="1"/>
              <w:bottom w:val="single" w:color="CCCCCC" w:sz="1"/>
              <w:right w:val="single" w:color="CCCCCC" w:sz="1"/>
            </w:tcBorders>
            <w:shd w:fill="F0F4F4" w:val="clear"/>
            <w:tcMar>
              <w:top w:type="dxa" w:w="100"/>
              <w:left w:type="dxa" w:w="150"/>
              <w:bottom w:type="dxa" w:w="100"/>
              <w:right w:type="dxa" w:w="150"/>
            </w:tcMar>
          </w:tcPr>
          <w:p>
            <w:r>
              <w:rPr>
                <w:rFonts w:ascii="Arial" w:cs="Arial" w:eastAsia="Arial" w:hAnsi="Arial"/>
                <w:b/>
                <w:bCs/>
                <w:color w:val="1A1A2E"/>
                <w:sz w:val="20"/>
                <w:szCs w:val="20"/>
              </w:rPr>
              <w:t xml:space="preserve">Road Traffic Crashes</w:t>
            </w:r>
          </w:p>
        </w:tc>
        <w:tc>
          <w:tcPr>
            <w:tcW w:type="dxa" w:w="2500"/>
            <w:tcBorders>
              <w:top w:val="single" w:color="CCCCCC" w:sz="1"/>
              <w:left w:val="single" w:color="CCCCCC" w:sz="1"/>
              <w:bottom w:val="single" w:color="CCCCCC" w:sz="1"/>
              <w:right w:val="single" w:color="CCCCCC" w:sz="1"/>
            </w:tcBorders>
            <w:shd w:fill="FFF0F0" w:val="clear"/>
            <w:tcMar>
              <w:top w:type="dxa" w:w="100"/>
              <w:left w:type="dxa" w:w="150"/>
              <w:bottom w:type="dxa" w:w="100"/>
              <w:right w:type="dxa" w:w="150"/>
            </w:tcMar>
            <w:vAlign w:val="center"/>
          </w:tcPr>
          <w:p>
            <w:pPr>
              <w:jc w:val="center"/>
            </w:pPr>
            <w:r>
              <w:rPr>
                <w:rFonts w:ascii="Arial" w:cs="Arial" w:eastAsia="Arial" w:hAnsi="Arial"/>
                <w:b/>
                <w:bCs/>
                <w:color w:val="B71C1C"/>
                <w:sz w:val="22"/>
                <w:szCs w:val="22"/>
              </w:rPr>
              <w:t xml:space="preserve">~1.19 million</w:t>
            </w:r>
          </w:p>
        </w:tc>
        <w:tc>
          <w:tcPr>
            <w:tcW w:type="dxa" w:w="36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both"/>
            </w:pPr>
            <w:r>
              <w:rPr>
                <w:rFonts w:ascii="Arial" w:cs="Arial" w:eastAsia="Arial" w:hAnsi="Arial"/>
                <w:color w:val="555555"/>
                <w:sz w:val="19"/>
                <w:szCs w:val="19"/>
              </w:rPr>
              <w:t xml:space="preserve">Leading cause of death for all ages 5–29. Costs world economy ~$3.6 trillion/year. 90% of deaths in low/middle-income countries. (WHO, 2023)</w:t>
            </w:r>
          </w:p>
        </w:tc>
      </w:tr>
      <w:tr>
        <w:tc>
          <w:tcPr>
            <w:tcW w:type="dxa" w:w="3200"/>
            <w:tcBorders>
              <w:top w:val="single" w:color="CCCCCC" w:sz="1"/>
              <w:left w:val="single" w:color="CCCCCC" w:sz="1"/>
              <w:bottom w:val="single" w:color="CCCCCC" w:sz="1"/>
              <w:right w:val="single" w:color="CCCCCC" w:sz="1"/>
            </w:tcBorders>
            <w:shd w:fill="F0F4F4" w:val="clear"/>
            <w:tcMar>
              <w:top w:type="dxa" w:w="100"/>
              <w:left w:type="dxa" w:w="150"/>
              <w:bottom w:type="dxa" w:w="100"/>
              <w:right w:type="dxa" w:w="150"/>
            </w:tcMar>
          </w:tcPr>
          <w:p>
            <w:r>
              <w:rPr>
                <w:rFonts w:ascii="Arial" w:cs="Arial" w:eastAsia="Arial" w:hAnsi="Arial"/>
                <w:b/>
                <w:bCs/>
                <w:color w:val="1A1A2E"/>
                <w:sz w:val="20"/>
                <w:szCs w:val="20"/>
              </w:rPr>
              <w:t xml:space="preserve">Intentional Homicide (incl. robbery-related)</w:t>
            </w:r>
          </w:p>
        </w:tc>
        <w:tc>
          <w:tcPr>
            <w:tcW w:type="dxa" w:w="2500"/>
            <w:tcBorders>
              <w:top w:val="single" w:color="CCCCCC" w:sz="1"/>
              <w:left w:val="single" w:color="CCCCCC" w:sz="1"/>
              <w:bottom w:val="single" w:color="CCCCCC" w:sz="1"/>
              <w:right w:val="single" w:color="CCCCCC" w:sz="1"/>
            </w:tcBorders>
            <w:shd w:fill="FFF0F0" w:val="clear"/>
            <w:tcMar>
              <w:top w:type="dxa" w:w="100"/>
              <w:left w:type="dxa" w:w="150"/>
              <w:bottom w:type="dxa" w:w="100"/>
              <w:right w:type="dxa" w:w="150"/>
            </w:tcMar>
            <w:vAlign w:val="center"/>
          </w:tcPr>
          <w:p>
            <w:pPr>
              <w:jc w:val="center"/>
            </w:pPr>
            <w:r>
              <w:rPr>
                <w:rFonts w:ascii="Arial" w:cs="Arial" w:eastAsia="Arial" w:hAnsi="Arial"/>
                <w:b/>
                <w:bCs/>
                <w:color w:val="B71C1C"/>
                <w:sz w:val="22"/>
                <w:szCs w:val="22"/>
              </w:rPr>
              <w:t xml:space="preserve">~430,000–500,000</w:t>
            </w:r>
          </w:p>
        </w:tc>
        <w:tc>
          <w:tcPr>
            <w:tcW w:type="dxa" w:w="36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both"/>
            </w:pPr>
            <w:r>
              <w:rPr>
                <w:rFonts w:ascii="Arial" w:cs="Arial" w:eastAsia="Arial" w:hAnsi="Arial"/>
                <w:color w:val="555555"/>
                <w:sz w:val="19"/>
                <w:szCs w:val="19"/>
              </w:rPr>
              <w:t xml:space="preserve">Global rate: 5.6/100,000 (2022). 38% driven by organized crime &amp; gangs. Latin America and Africa most affected. (UNODC, 2023)</w:t>
            </w:r>
          </w:p>
        </w:tc>
      </w:tr>
      <w:tr>
        <w:tc>
          <w:tcPr>
            <w:tcW w:type="dxa" w:w="3200"/>
            <w:tcBorders>
              <w:top w:val="single" w:color="CCCCCC" w:sz="1"/>
              <w:left w:val="single" w:color="CCCCCC" w:sz="1"/>
              <w:bottom w:val="single" w:color="CCCCCC" w:sz="1"/>
              <w:right w:val="single" w:color="CCCCCC" w:sz="1"/>
            </w:tcBorders>
            <w:shd w:fill="F0F4F4" w:val="clear"/>
            <w:tcMar>
              <w:top w:type="dxa" w:w="100"/>
              <w:left w:type="dxa" w:w="150"/>
              <w:bottom w:type="dxa" w:w="100"/>
              <w:right w:type="dxa" w:w="150"/>
            </w:tcMar>
          </w:tcPr>
          <w:p>
            <w:r>
              <w:rPr>
                <w:rFonts w:ascii="Arial" w:cs="Arial" w:eastAsia="Arial" w:hAnsi="Arial"/>
                <w:b/>
                <w:bCs/>
                <w:color w:val="1A1A2E"/>
                <w:sz w:val="20"/>
                <w:szCs w:val="20"/>
              </w:rPr>
              <w:t xml:space="preserve">Preventable Child Deaths (under-5)</w:t>
            </w:r>
          </w:p>
        </w:tc>
        <w:tc>
          <w:tcPr>
            <w:tcW w:type="dxa" w:w="2500"/>
            <w:tcBorders>
              <w:top w:val="single" w:color="CCCCCC" w:sz="1"/>
              <w:left w:val="single" w:color="CCCCCC" w:sz="1"/>
              <w:bottom w:val="single" w:color="CCCCCC" w:sz="1"/>
              <w:right w:val="single" w:color="CCCCCC" w:sz="1"/>
            </w:tcBorders>
            <w:shd w:fill="FFF0F0" w:val="clear"/>
            <w:tcMar>
              <w:top w:type="dxa" w:w="100"/>
              <w:left w:type="dxa" w:w="150"/>
              <w:bottom w:type="dxa" w:w="100"/>
              <w:right w:type="dxa" w:w="150"/>
            </w:tcMar>
            <w:vAlign w:val="center"/>
          </w:tcPr>
          <w:p>
            <w:pPr>
              <w:jc w:val="center"/>
            </w:pPr>
            <w:r>
              <w:rPr>
                <w:rFonts w:ascii="Arial" w:cs="Arial" w:eastAsia="Arial" w:hAnsi="Arial"/>
                <w:b/>
                <w:bCs/>
                <w:color w:val="B71C1C"/>
                <w:sz w:val="22"/>
                <w:szCs w:val="22"/>
              </w:rPr>
              <w:t xml:space="preserve">~4.9 million</w:t>
            </w:r>
          </w:p>
        </w:tc>
        <w:tc>
          <w:tcPr>
            <w:tcW w:type="dxa" w:w="36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both"/>
            </w:pPr>
            <w:r>
              <w:rPr>
                <w:rFonts w:ascii="Arial" w:cs="Arial" w:eastAsia="Arial" w:hAnsi="Arial"/>
                <w:color w:val="555555"/>
                <w:sz w:val="19"/>
                <w:szCs w:val="19"/>
              </w:rPr>
              <w:t xml:space="preserve">4.9M in 2024 — nearly ALL preventable with low-cost interventions. Progress has slowed &gt;60% since 2015. (UNICEF/WHO, March 2026)</w:t>
            </w:r>
          </w:p>
        </w:tc>
      </w:tr>
      <w:tr>
        <w:tc>
          <w:tcPr>
            <w:tcW w:type="dxa" w:w="3200"/>
            <w:tcBorders>
              <w:top w:val="single" w:color="CCCCCC" w:sz="1"/>
              <w:left w:val="single" w:color="CCCCCC" w:sz="1"/>
              <w:bottom w:val="single" w:color="CCCCCC" w:sz="1"/>
              <w:right w:val="single" w:color="CCCCCC" w:sz="1"/>
            </w:tcBorders>
            <w:shd w:fill="F0F4F4" w:val="clear"/>
            <w:tcMar>
              <w:top w:type="dxa" w:w="100"/>
              <w:left w:type="dxa" w:w="150"/>
              <w:bottom w:type="dxa" w:w="100"/>
              <w:right w:type="dxa" w:w="150"/>
            </w:tcMar>
          </w:tcPr>
          <w:p>
            <w:r>
              <w:rPr>
                <w:rFonts w:ascii="Arial" w:cs="Arial" w:eastAsia="Arial" w:hAnsi="Arial"/>
                <w:b/>
                <w:bCs/>
                <w:color w:val="1A1A2E"/>
                <w:sz w:val="20"/>
                <w:szCs w:val="20"/>
              </w:rPr>
              <w:t xml:space="preserve">Deaths from Hunger &amp; Malnutrition</w:t>
            </w:r>
          </w:p>
        </w:tc>
        <w:tc>
          <w:tcPr>
            <w:tcW w:type="dxa" w:w="2500"/>
            <w:tcBorders>
              <w:top w:val="single" w:color="CCCCCC" w:sz="1"/>
              <w:left w:val="single" w:color="CCCCCC" w:sz="1"/>
              <w:bottom w:val="single" w:color="CCCCCC" w:sz="1"/>
              <w:right w:val="single" w:color="CCCCCC" w:sz="1"/>
            </w:tcBorders>
            <w:shd w:fill="FFF0F0" w:val="clear"/>
            <w:tcMar>
              <w:top w:type="dxa" w:w="100"/>
              <w:left w:type="dxa" w:w="150"/>
              <w:bottom w:type="dxa" w:w="100"/>
              <w:right w:type="dxa" w:w="150"/>
            </w:tcMar>
            <w:vAlign w:val="center"/>
          </w:tcPr>
          <w:p>
            <w:pPr>
              <w:jc w:val="center"/>
            </w:pPr>
            <w:r>
              <w:rPr>
                <w:rFonts w:ascii="Arial" w:cs="Arial" w:eastAsia="Arial" w:hAnsi="Arial"/>
                <w:b/>
                <w:bCs/>
                <w:color w:val="B71C1C"/>
                <w:sz w:val="22"/>
                <w:szCs w:val="22"/>
              </w:rPr>
              <w:t xml:space="preserve">~9 million</w:t>
            </w:r>
          </w:p>
        </w:tc>
        <w:tc>
          <w:tcPr>
            <w:tcW w:type="dxa" w:w="36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both"/>
            </w:pPr>
            <w:r>
              <w:rPr>
                <w:rFonts w:ascii="Arial" w:cs="Arial" w:eastAsia="Arial" w:hAnsi="Arial"/>
                <w:color w:val="555555"/>
                <w:sz w:val="19"/>
                <w:szCs w:val="19"/>
              </w:rPr>
              <w:t xml:space="preserve">25,000 deaths/day. ~45% of under-5 deaths linked to undernutrition. 735M chronically undernourished. (Concern Worldwide, 2026)</w:t>
            </w:r>
          </w:p>
        </w:tc>
      </w:tr>
      <w:tr>
        <w:tc>
          <w:tcPr>
            <w:tcW w:type="dxa" w:w="3200"/>
            <w:tcBorders>
              <w:top w:val="single" w:color="CCCCCC" w:sz="1"/>
              <w:left w:val="single" w:color="CCCCCC" w:sz="1"/>
              <w:bottom w:val="single" w:color="CCCCCC" w:sz="1"/>
              <w:right w:val="single" w:color="CCCCCC" w:sz="1"/>
            </w:tcBorders>
            <w:shd w:fill="F0F4F4" w:val="clear"/>
            <w:tcMar>
              <w:top w:type="dxa" w:w="100"/>
              <w:left w:type="dxa" w:w="150"/>
              <w:bottom w:type="dxa" w:w="100"/>
              <w:right w:type="dxa" w:w="150"/>
            </w:tcMar>
          </w:tcPr>
          <w:p>
            <w:r>
              <w:rPr>
                <w:rFonts w:ascii="Arial" w:cs="Arial" w:eastAsia="Arial" w:hAnsi="Arial"/>
                <w:b/>
                <w:bCs/>
                <w:color w:val="1A1A2E"/>
                <w:sz w:val="20"/>
                <w:szCs w:val="20"/>
              </w:rPr>
              <w:t xml:space="preserve">Induced Abortions (global)</w:t>
            </w:r>
          </w:p>
        </w:tc>
        <w:tc>
          <w:tcPr>
            <w:tcW w:type="dxa" w:w="2500"/>
            <w:tcBorders>
              <w:top w:val="single" w:color="CCCCCC" w:sz="1"/>
              <w:left w:val="single" w:color="CCCCCC" w:sz="1"/>
              <w:bottom w:val="single" w:color="CCCCCC" w:sz="1"/>
              <w:right w:val="single" w:color="CCCCCC" w:sz="1"/>
            </w:tcBorders>
            <w:shd w:fill="FFF0F0" w:val="clear"/>
            <w:tcMar>
              <w:top w:type="dxa" w:w="100"/>
              <w:left w:type="dxa" w:w="150"/>
              <w:bottom w:type="dxa" w:w="100"/>
              <w:right w:type="dxa" w:w="150"/>
            </w:tcMar>
            <w:vAlign w:val="center"/>
          </w:tcPr>
          <w:p>
            <w:pPr>
              <w:jc w:val="center"/>
            </w:pPr>
            <w:r>
              <w:rPr>
                <w:rFonts w:ascii="Arial" w:cs="Arial" w:eastAsia="Arial" w:hAnsi="Arial"/>
                <w:b/>
                <w:bCs/>
                <w:color w:val="B71C1C"/>
                <w:sz w:val="22"/>
                <w:szCs w:val="22"/>
              </w:rPr>
              <w:t xml:space="preserve">~73 million/year</w:t>
            </w:r>
          </w:p>
        </w:tc>
        <w:tc>
          <w:tcPr>
            <w:tcW w:type="dxa" w:w="36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both"/>
            </w:pPr>
            <w:r>
              <w:rPr>
                <w:rFonts w:ascii="Arial" w:cs="Arial" w:eastAsia="Arial" w:hAnsi="Arial"/>
                <w:color w:val="555555"/>
                <w:sz w:val="19"/>
                <w:szCs w:val="19"/>
              </w:rPr>
              <w:t xml:space="preserve">200,000/day. 45% unsafe. 68,000 deaths from unsafe abortion annually. World produces enough food to feed all 8.2B people. (WHO/Guttmacher/Lancet)</w:t>
            </w:r>
          </w:p>
        </w:tc>
      </w:tr>
    </w:tbl>
    <w:p>
      <w:pPr>
        <w:spacing w:before="60" w:after="60"/>
      </w:pPr>
      <w:r>
        <w:t xml:space="preserve"/>
      </w:r>
    </w:p>
    <w:p>
      <w:pPr>
        <w:spacing w:before="80" w:after="120"/>
        <w:jc w:val="center"/>
      </w:pPr>
      <w:r>
        <w:rPr>
          <w:rFonts w:ascii="Arial" w:cs="Arial" w:eastAsia="Arial" w:hAnsi="Arial"/>
          <w:b/>
          <w:bCs/>
          <w:color w:val="1A1A2E"/>
          <w:sz w:val="26"/>
          <w:szCs w:val="26"/>
        </w:rPr>
        <w:t xml:space="preserve">COMBINED ANNUAL TOTAL: </w:t>
      </w:r>
      <w:r>
        <w:rPr>
          <w:rFonts w:ascii="Arial" w:cs="Arial" w:eastAsia="Arial" w:hAnsi="Arial"/>
          <w:b/>
          <w:bCs/>
          <w:color w:val="B71C1C"/>
          <w:sz w:val="26"/>
          <w:szCs w:val="26"/>
        </w:rPr>
        <w:t xml:space="preserve">~85 million preventable or structurally-produced deaths per year</w:t>
      </w:r>
    </w:p>
    <w:p>
      <w:pPr>
        <w:spacing w:before="60" w:after="60"/>
      </w:pPr>
      <w:r>
        <w:t xml:space="preserve"/>
      </w:r>
    </w:p>
    <w:p>
      <w:pPr>
        <w:pStyle w:val="Heading1"/>
        <w:pBdr>
          <w:bottom w:val="single" w:color="B71C1C" w:sz="4" w:space="6"/>
        </w:pBdr>
        <w:spacing w:before="360" w:after="180"/>
      </w:pPr>
      <w:r>
        <w:rPr>
          <w:rFonts w:ascii="Arial" w:cs="Arial" w:eastAsia="Arial" w:hAnsi="Arial"/>
          <w:b/>
          <w:bCs/>
          <w:color w:val="B71C1C"/>
          <w:sz w:val="32"/>
          <w:szCs w:val="32"/>
        </w:rPr>
        <w:t xml:space="preserve">II. Road Traffic Deaths — The Silent War</w:t>
      </w:r>
    </w:p>
    <w:p>
      <w:pPr>
        <w:spacing w:before="80" w:after="120"/>
        <w:jc w:val="both"/>
      </w:pPr>
      <w:r>
        <w:rPr>
          <w:rFonts w:ascii="Arial" w:cs="Arial" w:eastAsia="Arial" w:hAnsi="Arial"/>
          <w:color w:val="1A1A2E"/>
          <w:sz w:val="22"/>
          <w:szCs w:val="22"/>
        </w:rPr>
        <w:t xml:space="preserve">Road traffic crashes kill approximately 1.19 million people every year worldwide — more than malaria or HIV/AIDS. This is the leading cause of death for children and young adults aged 5–29. Yet the conditions that make roads lethal — underfunded infrastructure, lax enforcement, inadequate vehicle standards — are structural choices, not accidents of nature.</w:t>
      </w:r>
    </w:p>
    <w:p>
      <w:pPr>
        <w:spacing w:before="60" w:after="60"/>
      </w:pPr>
      <w:r>
        <w:t xml:space="preserve"/>
      </w:r>
    </w:p>
    <w:p>
      <w:pPr>
        <w:pBdr>
          <w:left w:val="single" w:color="B71C1C" w:sz="6" w:space="12"/>
        </w:pBdr>
        <w:spacing w:before="120" w:after="120"/>
        <w:ind w:left="720" w:right="360"/>
      </w:pPr>
      <w:r>
        <w:rPr>
          <w:rFonts w:ascii="Arial" w:cs="Arial" w:eastAsia="Arial" w:hAnsi="Arial"/>
          <w:i/>
          <w:iCs/>
          <w:color w:val="444444"/>
          <w:sz w:val="20"/>
          <w:szCs w:val="20"/>
        </w:rPr>
        <w:t xml:space="preserve">"Road crashes are the leading cause of death for individuals ages 5-29. In 2021, these vehicles were involved in crashes responsible for 1.19 million deaths."</w:t>
      </w:r>
    </w:p>
    <w:p>
      <w:pPr>
        <w:spacing w:before="40" w:after="80"/>
        <w:ind w:left="720"/>
      </w:pPr>
      <w:r>
        <w:rPr>
          <w:rFonts w:ascii="Arial" w:cs="Arial" w:eastAsia="Arial" w:hAnsi="Arial"/>
          <w:i/>
          <w:iCs/>
          <w:color w:val="777777"/>
          <w:sz w:val="18"/>
          <w:szCs w:val="18"/>
        </w:rPr>
        <w:t xml:space="preserve">— Source: CDC / WHO Global Status Report on Road Safety 2023</w:t>
      </w:r>
    </w:p>
    <w:p>
      <w:pPr>
        <w:spacing w:before="60" w:after="60"/>
      </w:pPr>
      <w:r>
        <w:t xml:space="preserve"/>
      </w:r>
    </w:p>
    <w:p>
      <w:pPr>
        <w:pStyle w:val="Heading2"/>
        <w:spacing w:before="280" w:after="120"/>
      </w:pPr>
      <w:r>
        <w:rPr>
          <w:rFonts w:ascii="Arial" w:cs="Arial" w:eastAsia="Arial" w:hAnsi="Arial"/>
          <w:b/>
          <w:bCs/>
          <w:color w:val="1A1A2E"/>
          <w:sz w:val="26"/>
          <w:szCs w:val="26"/>
        </w:rPr>
        <w:t xml:space="preserve">Key Global Statistics</w:t>
      </w:r>
    </w:p>
    <w:p>
      <w:pPr>
        <w:pStyle w:val="ListParagraph"/>
        <w:numPr>
          <w:ilvl w:val="0"/>
          <w:numId w:val="2"/>
        </w:numPr>
        <w:spacing w:before="60" w:after="60"/>
      </w:pPr>
      <w:r>
        <w:rPr>
          <w:rFonts w:ascii="Arial" w:cs="Arial" w:eastAsia="Arial" w:hAnsi="Arial"/>
          <w:color w:val="1A1A2E"/>
          <w:sz w:val="22"/>
          <w:szCs w:val="22"/>
        </w:rPr>
        <w:t xml:space="preserve">1.19 million deaths annually from road traffic crashes (WHO, 2021)</w:t>
      </w:r>
    </w:p>
    <w:p>
      <w:pPr>
        <w:pStyle w:val="ListParagraph"/>
        <w:numPr>
          <w:ilvl w:val="0"/>
          <w:numId w:val="2"/>
        </w:numPr>
        <w:spacing w:before="60" w:after="60"/>
      </w:pPr>
      <w:r>
        <w:rPr>
          <w:rFonts w:ascii="Arial" w:cs="Arial" w:eastAsia="Arial" w:hAnsi="Arial"/>
          <w:color w:val="1A1A2E"/>
          <w:sz w:val="22"/>
          <w:szCs w:val="22"/>
        </w:rPr>
        <w:t xml:space="preserve">20–50 million more suffer non-fatal injuries, many with permanent disability</w:t>
      </w:r>
    </w:p>
    <w:p>
      <w:pPr>
        <w:pStyle w:val="ListParagraph"/>
        <w:numPr>
          <w:ilvl w:val="0"/>
          <w:numId w:val="2"/>
        </w:numPr>
        <w:spacing w:before="60" w:after="60"/>
      </w:pPr>
      <w:r>
        <w:rPr>
          <w:rFonts w:ascii="Arial" w:cs="Arial" w:eastAsia="Arial" w:hAnsi="Arial"/>
          <w:color w:val="1A1A2E"/>
          <w:sz w:val="22"/>
          <w:szCs w:val="22"/>
        </w:rPr>
        <w:t xml:space="preserve">90% of road traffic deaths occur in low- and middle-income countries</w:t>
      </w:r>
    </w:p>
    <w:p>
      <w:pPr>
        <w:pStyle w:val="ListParagraph"/>
        <w:numPr>
          <w:ilvl w:val="0"/>
          <w:numId w:val="2"/>
        </w:numPr>
        <w:spacing w:before="60" w:after="60"/>
      </w:pPr>
      <w:r>
        <w:rPr>
          <w:rFonts w:ascii="Arial" w:cs="Arial" w:eastAsia="Arial" w:hAnsi="Arial"/>
          <w:color w:val="1A1A2E"/>
          <w:sz w:val="22"/>
          <w:szCs w:val="22"/>
        </w:rPr>
        <w:t xml:space="preserve">Cost to world economy: approximately $3.6 trillion USD per year</w:t>
      </w:r>
    </w:p>
    <w:p>
      <w:pPr>
        <w:pStyle w:val="ListParagraph"/>
        <w:numPr>
          <w:ilvl w:val="0"/>
          <w:numId w:val="2"/>
        </w:numPr>
        <w:spacing w:before="60" w:after="60"/>
      </w:pPr>
      <w:r>
        <w:rPr>
          <w:rFonts w:ascii="Arial" w:cs="Arial" w:eastAsia="Arial" w:hAnsi="Arial"/>
          <w:color w:val="1A1A2E"/>
          <w:sz w:val="22"/>
          <w:szCs w:val="22"/>
        </w:rPr>
        <w:t xml:space="preserve">74% of road deaths in middle-income countries, which own only 53% of registered vehicles</w:t>
      </w:r>
    </w:p>
    <w:p>
      <w:pPr>
        <w:pStyle w:val="ListParagraph"/>
        <w:numPr>
          <w:ilvl w:val="0"/>
          <w:numId w:val="2"/>
        </w:numPr>
        <w:spacing w:before="60" w:after="60"/>
      </w:pPr>
      <w:r>
        <w:rPr>
          <w:rFonts w:ascii="Arial" w:cs="Arial" w:eastAsia="Arial" w:hAnsi="Arial"/>
          <w:color w:val="1A1A2E"/>
          <w:sz w:val="22"/>
          <w:szCs w:val="22"/>
        </w:rPr>
        <w:t xml:space="preserve">In low-income countries: 1% of world's cars produce 16% of world's traffic deaths</w:t>
      </w:r>
    </w:p>
    <w:p>
      <w:pPr>
        <w:pStyle w:val="ListParagraph"/>
        <w:numPr>
          <w:ilvl w:val="0"/>
          <w:numId w:val="2"/>
        </w:numPr>
        <w:spacing w:before="60" w:after="60"/>
      </w:pPr>
      <w:r>
        <w:rPr>
          <w:rFonts w:ascii="Arial" w:cs="Arial" w:eastAsia="Arial" w:hAnsi="Arial"/>
          <w:color w:val="1A1A2E"/>
          <w:sz w:val="22"/>
          <w:szCs w:val="22"/>
        </w:rPr>
        <w:t xml:space="preserve">77% of road deaths are male; age group 15–44 accounts for 59% of all road fatalities</w:t>
      </w:r>
    </w:p>
    <w:p>
      <w:pPr>
        <w:spacing w:before="60" w:after="60"/>
      </w:pPr>
      <w:r>
        <w:t xml:space="preserve"/>
      </w:r>
    </w:p>
    <w:p>
      <w:pPr>
        <w:pStyle w:val="Heading2"/>
        <w:spacing w:before="280" w:after="120"/>
      </w:pPr>
      <w:r>
        <w:rPr>
          <w:rFonts w:ascii="Arial" w:cs="Arial" w:eastAsia="Arial" w:hAnsi="Arial"/>
          <w:b/>
          <w:bCs/>
          <w:color w:val="1A1A2E"/>
          <w:sz w:val="26"/>
          <w:szCs w:val="26"/>
        </w:rPr>
        <w:t xml:space="preserve">Regional Death Rates (per 100,000 population)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1800"/>
        <w:gridCol w:w="4760"/>
      </w:tblGrid>
      <w:tr>
        <w:trPr>
          <w:tblHeader/>
        </w:trPr>
        <w:tc>
          <w:tcPr>
            <w:tcW w:type="dxa" w:w="2800"/>
            <w:tcBorders>
              <w:top w:val="single" w:color="CCCCCC" w:sz="1"/>
              <w:left w:val="single" w:color="CCCCCC" w:sz="1"/>
              <w:bottom w:val="single" w:color="CCCCCC" w:sz="1"/>
              <w:right w:val="single" w:color="CCCCCC" w:sz="1"/>
            </w:tcBorders>
            <w:shd w:fill="1A1A2E" w:val="clear"/>
            <w:tcMar>
              <w:top w:type="dxa" w:w="80"/>
              <w:left w:type="dxa" w:w="120"/>
              <w:bottom w:type="dxa" w:w="80"/>
              <w:right w:type="dxa" w:w="120"/>
            </w:tcMar>
          </w:tcPr>
          <w:p>
            <w:pPr>
              <w:jc w:val="left"/>
            </w:pPr>
            <w:r>
              <w:rPr>
                <w:rFonts w:ascii="Arial" w:cs="Arial" w:eastAsia="Arial" w:hAnsi="Arial"/>
                <w:b/>
                <w:bCs/>
                <w:color w:val="FFFFFF"/>
                <w:sz w:val="19"/>
                <w:szCs w:val="19"/>
              </w:rPr>
              <w:t xml:space="preserve">WHO Region</w:t>
            </w:r>
          </w:p>
        </w:tc>
        <w:tc>
          <w:tcPr>
            <w:tcW w:type="dxa" w:w="1800"/>
            <w:tcBorders>
              <w:top w:val="single" w:color="CCCCCC" w:sz="1"/>
              <w:left w:val="single" w:color="CCCCCC" w:sz="1"/>
              <w:bottom w:val="single" w:color="CCCCCC" w:sz="1"/>
              <w:right w:val="single" w:color="CCCCCC" w:sz="1"/>
            </w:tcBorders>
            <w:shd w:fill="1A1A2E" w:val="clear"/>
            <w:tcMar>
              <w:top w:type="dxa" w:w="80"/>
              <w:left w:type="dxa" w:w="120"/>
              <w:bottom w:type="dxa" w:w="80"/>
              <w:right w:type="dxa" w:w="120"/>
            </w:tcMar>
          </w:tcPr>
          <w:p>
            <w:pPr>
              <w:jc w:val="center"/>
            </w:pPr>
            <w:r>
              <w:rPr>
                <w:rFonts w:ascii="Arial" w:cs="Arial" w:eastAsia="Arial" w:hAnsi="Arial"/>
                <w:b/>
                <w:bCs/>
                <w:color w:val="FFFFFF"/>
                <w:sz w:val="19"/>
                <w:szCs w:val="19"/>
              </w:rPr>
              <w:t xml:space="preserve">Deaths/100k</w:t>
            </w:r>
          </w:p>
        </w:tc>
        <w:tc>
          <w:tcPr>
            <w:tcW w:type="dxa" w:w="4760"/>
            <w:tcBorders>
              <w:top w:val="single" w:color="CCCCCC" w:sz="1"/>
              <w:left w:val="single" w:color="CCCCCC" w:sz="1"/>
              <w:bottom w:val="single" w:color="CCCCCC" w:sz="1"/>
              <w:right w:val="single" w:color="CCCCCC" w:sz="1"/>
            </w:tcBorders>
            <w:shd w:fill="1A1A2E" w:val="clear"/>
            <w:tcMar>
              <w:top w:type="dxa" w:w="80"/>
              <w:left w:type="dxa" w:w="120"/>
              <w:bottom w:type="dxa" w:w="80"/>
              <w:right w:type="dxa" w:w="120"/>
            </w:tcMar>
          </w:tcPr>
          <w:p>
            <w:pPr>
              <w:jc w:val="left"/>
            </w:pPr>
            <w:r>
              <w:rPr>
                <w:rFonts w:ascii="Arial" w:cs="Arial" w:eastAsia="Arial" w:hAnsi="Arial"/>
                <w:b/>
                <w:bCs/>
                <w:color w:val="FFFFFF"/>
                <w:sz w:val="19"/>
                <w:szCs w:val="19"/>
              </w:rPr>
              <w:t xml:space="preserve">Key Context</w:t>
            </w:r>
          </w:p>
        </w:tc>
      </w:tr>
      <w:tr>
        <w:tc>
          <w:tcPr>
            <w:tcW w:type="dxa" w:w="2800"/>
            <w:tcBorders>
              <w:top w:val="single" w:color="CCCCCC" w:sz="1"/>
              <w:left w:val="single" w:color="CCCCCC" w:sz="1"/>
              <w:bottom w:val="single" w:color="CCCCCC" w:sz="1"/>
              <w:right w:val="single" w:color="CCCCCC" w:sz="1"/>
            </w:tcBorders>
            <w:shd w:fill="F0F4F4" w:val="clear"/>
            <w:tcMar>
              <w:top w:type="dxa" w:w="80"/>
              <w:left w:type="dxa" w:w="120"/>
              <w:bottom w:type="dxa" w:w="80"/>
              <w:right w:type="dxa" w:w="120"/>
            </w:tcMar>
            <w:vAlign w:val="center"/>
          </w:tcPr>
          <w:p>
            <w:pPr>
              <w:jc w:val="left"/>
            </w:pPr>
            <w:r>
              <w:rPr>
                <w:rFonts w:ascii="Arial" w:cs="Arial" w:eastAsia="Arial" w:hAnsi="Arial"/>
                <w:b w:val="false"/>
                <w:bCs w:val="false"/>
                <w:color w:val="1A1A2E"/>
                <w:sz w:val="19"/>
                <w:szCs w:val="19"/>
              </w:rPr>
              <w:t xml:space="preserve">Africa</w:t>
            </w:r>
          </w:p>
        </w:tc>
        <w:tc>
          <w:tcPr>
            <w:tcW w:type="dxa" w:w="1800"/>
            <w:tcBorders>
              <w:top w:val="single" w:color="CCCCCC" w:sz="1"/>
              <w:left w:val="single" w:color="CCCCCC" w:sz="1"/>
              <w:bottom w:val="single" w:color="CCCCCC" w:sz="1"/>
              <w:right w:val="single" w:color="CCCCCC" w:sz="1"/>
            </w:tcBorders>
            <w:shd w:fill="FFF0F0" w:val="clear"/>
            <w:tcMar>
              <w:top w:type="dxa" w:w="80"/>
              <w:left w:type="dxa" w:w="120"/>
              <w:bottom w:type="dxa" w:w="80"/>
              <w:right w:type="dxa" w:w="120"/>
            </w:tcMar>
            <w:vAlign w:val="center"/>
          </w:tcPr>
          <w:p>
            <w:pPr>
              <w:jc w:val="center"/>
            </w:pPr>
            <w:r>
              <w:rPr>
                <w:rFonts w:ascii="Arial" w:cs="Arial" w:eastAsia="Arial" w:hAnsi="Arial"/>
                <w:b/>
                <w:bCs/>
                <w:color w:val="B71C1C"/>
                <w:sz w:val="19"/>
                <w:szCs w:val="19"/>
              </w:rPr>
              <w:t xml:space="preserve">26.6</w:t>
            </w:r>
          </w:p>
        </w:tc>
        <w:tc>
          <w:tcPr>
            <w:tcW w:type="dxa" w:w="4760"/>
            <w:tcBorders>
              <w:top w:val="single" w:color="CCCCCC" w:sz="1"/>
              <w:left w:val="single" w:color="CCCCCC" w:sz="1"/>
              <w:bottom w:val="single" w:color="CCCCCC" w:sz="1"/>
              <w:right w:val="single" w:color="CCCCCC" w:sz="1"/>
            </w:tcBorders>
            <w:shd w:fill="F0F4F4" w:val="clear"/>
            <w:tcMar>
              <w:top w:type="dxa" w:w="80"/>
              <w:left w:type="dxa" w:w="120"/>
              <w:bottom w:type="dxa" w:w="80"/>
              <w:right w:type="dxa" w:w="120"/>
            </w:tcMar>
            <w:vAlign w:val="center"/>
          </w:tcPr>
          <w:p>
            <w:pPr>
              <w:jc w:val="left"/>
            </w:pPr>
            <w:r>
              <w:rPr>
                <w:rFonts w:ascii="Arial" w:cs="Arial" w:eastAsia="Arial" w:hAnsi="Arial"/>
                <w:b w:val="false"/>
                <w:bCs w:val="false"/>
                <w:color w:val="1A1A2E"/>
                <w:sz w:val="19"/>
                <w:szCs w:val="19"/>
              </w:rPr>
              <w:t xml:space="preserve">Highest rate globally — 15 of the top 20 deadliest countries are African</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1A1A2E"/>
                <w:sz w:val="19"/>
                <w:szCs w:val="19"/>
              </w:rPr>
              <w:t xml:space="preserve">South-East Asia</w:t>
            </w:r>
          </w:p>
        </w:tc>
        <w:tc>
          <w:tcPr>
            <w:tcW w:type="dxa" w:w="1800"/>
            <w:tcBorders>
              <w:top w:val="single" w:color="CCCCCC" w:sz="1"/>
              <w:left w:val="single" w:color="CCCCCC" w:sz="1"/>
              <w:bottom w:val="single" w:color="CCCCCC" w:sz="1"/>
              <w:right w:val="single" w:color="CCCCCC" w:sz="1"/>
            </w:tcBorders>
            <w:shd w:fill="FFF0F0" w:val="clear"/>
            <w:tcMar>
              <w:top w:type="dxa" w:w="80"/>
              <w:left w:type="dxa" w:w="120"/>
              <w:bottom w:type="dxa" w:w="80"/>
              <w:right w:type="dxa" w:w="120"/>
            </w:tcMar>
            <w:vAlign w:val="center"/>
          </w:tcPr>
          <w:p>
            <w:pPr>
              <w:jc w:val="center"/>
            </w:pPr>
            <w:r>
              <w:rPr>
                <w:rFonts w:ascii="Arial" w:cs="Arial" w:eastAsia="Arial" w:hAnsi="Arial"/>
                <w:b/>
                <w:bCs/>
                <w:color w:val="B71C1C"/>
                <w:sz w:val="19"/>
                <w:szCs w:val="19"/>
              </w:rPr>
              <w:t xml:space="preserve">20.7</w:t>
            </w:r>
          </w:p>
        </w:tc>
        <w:tc>
          <w:tcPr>
            <w:tcW w:type="dxa" w:w="4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1A1A2E"/>
                <w:sz w:val="19"/>
                <w:szCs w:val="19"/>
              </w:rPr>
              <w:t xml:space="preserve">High motorcycle dependency; rapid motorization without safety infrastructure</w:t>
            </w:r>
          </w:p>
        </w:tc>
      </w:tr>
      <w:tr>
        <w:tc>
          <w:tcPr>
            <w:tcW w:type="dxa" w:w="2800"/>
            <w:tcBorders>
              <w:top w:val="single" w:color="CCCCCC" w:sz="1"/>
              <w:left w:val="single" w:color="CCCCCC" w:sz="1"/>
              <w:bottom w:val="single" w:color="CCCCCC" w:sz="1"/>
              <w:right w:val="single" w:color="CCCCCC" w:sz="1"/>
            </w:tcBorders>
            <w:shd w:fill="F0F4F4" w:val="clear"/>
            <w:tcMar>
              <w:top w:type="dxa" w:w="80"/>
              <w:left w:type="dxa" w:w="120"/>
              <w:bottom w:type="dxa" w:w="80"/>
              <w:right w:type="dxa" w:w="120"/>
            </w:tcMar>
            <w:vAlign w:val="center"/>
          </w:tcPr>
          <w:p>
            <w:pPr>
              <w:jc w:val="left"/>
            </w:pPr>
            <w:r>
              <w:rPr>
                <w:rFonts w:ascii="Arial" w:cs="Arial" w:eastAsia="Arial" w:hAnsi="Arial"/>
                <w:b w:val="false"/>
                <w:bCs w:val="false"/>
                <w:color w:val="1A1A2E"/>
                <w:sz w:val="19"/>
                <w:szCs w:val="19"/>
              </w:rPr>
              <w:t xml:space="preserve">Eastern Mediterranean</w:t>
            </w:r>
          </w:p>
        </w:tc>
        <w:tc>
          <w:tcPr>
            <w:tcW w:type="dxa" w:w="1800"/>
            <w:tcBorders>
              <w:top w:val="single" w:color="CCCCCC" w:sz="1"/>
              <w:left w:val="single" w:color="CCCCCC" w:sz="1"/>
              <w:bottom w:val="single" w:color="CCCCCC" w:sz="1"/>
              <w:right w:val="single" w:color="CCCCCC" w:sz="1"/>
            </w:tcBorders>
            <w:shd w:fill="FFF0F0" w:val="clear"/>
            <w:tcMar>
              <w:top w:type="dxa" w:w="80"/>
              <w:left w:type="dxa" w:w="120"/>
              <w:bottom w:type="dxa" w:w="80"/>
              <w:right w:type="dxa" w:w="120"/>
            </w:tcMar>
            <w:vAlign w:val="center"/>
          </w:tcPr>
          <w:p>
            <w:pPr>
              <w:jc w:val="center"/>
            </w:pPr>
            <w:r>
              <w:rPr>
                <w:rFonts w:ascii="Arial" w:cs="Arial" w:eastAsia="Arial" w:hAnsi="Arial"/>
                <w:b/>
                <w:bCs/>
                <w:color w:val="B71C1C"/>
                <w:sz w:val="19"/>
                <w:szCs w:val="19"/>
              </w:rPr>
              <w:t xml:space="preserve">19.9</w:t>
            </w:r>
          </w:p>
        </w:tc>
        <w:tc>
          <w:tcPr>
            <w:tcW w:type="dxa" w:w="4760"/>
            <w:tcBorders>
              <w:top w:val="single" w:color="CCCCCC" w:sz="1"/>
              <w:left w:val="single" w:color="CCCCCC" w:sz="1"/>
              <w:bottom w:val="single" w:color="CCCCCC" w:sz="1"/>
              <w:right w:val="single" w:color="CCCCCC" w:sz="1"/>
            </w:tcBorders>
            <w:shd w:fill="F0F4F4" w:val="clear"/>
            <w:tcMar>
              <w:top w:type="dxa" w:w="80"/>
              <w:left w:type="dxa" w:w="120"/>
              <w:bottom w:type="dxa" w:w="80"/>
              <w:right w:type="dxa" w:w="120"/>
            </w:tcMar>
            <w:vAlign w:val="center"/>
          </w:tcPr>
          <w:p>
            <w:pPr>
              <w:jc w:val="left"/>
            </w:pPr>
            <w:r>
              <w:rPr>
                <w:rFonts w:ascii="Arial" w:cs="Arial" w:eastAsia="Arial" w:hAnsi="Arial"/>
                <w:b w:val="false"/>
                <w:bCs w:val="false"/>
                <w:color w:val="1A1A2E"/>
                <w:sz w:val="19"/>
                <w:szCs w:val="19"/>
              </w:rPr>
              <w:t xml:space="preserve">Mix of conflict zones and poorly regulated traffic</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1A1A2E"/>
                <w:sz w:val="19"/>
                <w:szCs w:val="19"/>
              </w:rPr>
              <w:t xml:space="preserve">Western Pacific</w:t>
            </w:r>
          </w:p>
        </w:tc>
        <w:tc>
          <w:tcPr>
            <w:tcW w:type="dxa" w:w="1800"/>
            <w:tcBorders>
              <w:top w:val="single" w:color="CCCCCC" w:sz="1"/>
              <w:left w:val="single" w:color="CCCCCC" w:sz="1"/>
              <w:bottom w:val="single" w:color="CCCCCC" w:sz="1"/>
              <w:right w:val="single" w:color="CCCCCC" w:sz="1"/>
            </w:tcBorders>
            <w:shd w:fill="FFF0F0" w:val="clear"/>
            <w:tcMar>
              <w:top w:type="dxa" w:w="80"/>
              <w:left w:type="dxa" w:w="120"/>
              <w:bottom w:type="dxa" w:w="80"/>
              <w:right w:type="dxa" w:w="120"/>
            </w:tcMar>
            <w:vAlign w:val="center"/>
          </w:tcPr>
          <w:p>
            <w:pPr>
              <w:jc w:val="center"/>
            </w:pPr>
            <w:r>
              <w:rPr>
                <w:rFonts w:ascii="Arial" w:cs="Arial" w:eastAsia="Arial" w:hAnsi="Arial"/>
                <w:b/>
                <w:bCs/>
                <w:color w:val="B71C1C"/>
                <w:sz w:val="19"/>
                <w:szCs w:val="19"/>
              </w:rPr>
              <w:t xml:space="preserve">17.3</w:t>
            </w:r>
          </w:p>
        </w:tc>
        <w:tc>
          <w:tcPr>
            <w:tcW w:type="dxa" w:w="4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1A1A2E"/>
                <w:sz w:val="19"/>
                <w:szCs w:val="19"/>
              </w:rPr>
              <w:t xml:space="preserve">Includes high-volume economies with mixed safety records</w:t>
            </w:r>
          </w:p>
        </w:tc>
      </w:tr>
      <w:tr>
        <w:tc>
          <w:tcPr>
            <w:tcW w:type="dxa" w:w="2800"/>
            <w:tcBorders>
              <w:top w:val="single" w:color="CCCCCC" w:sz="1"/>
              <w:left w:val="single" w:color="CCCCCC" w:sz="1"/>
              <w:bottom w:val="single" w:color="CCCCCC" w:sz="1"/>
              <w:right w:val="single" w:color="CCCCCC" w:sz="1"/>
            </w:tcBorders>
            <w:shd w:fill="F0F4F4" w:val="clear"/>
            <w:tcMar>
              <w:top w:type="dxa" w:w="80"/>
              <w:left w:type="dxa" w:w="120"/>
              <w:bottom w:type="dxa" w:w="80"/>
              <w:right w:type="dxa" w:w="120"/>
            </w:tcMar>
            <w:vAlign w:val="center"/>
          </w:tcPr>
          <w:p>
            <w:pPr>
              <w:jc w:val="left"/>
            </w:pPr>
            <w:r>
              <w:rPr>
                <w:rFonts w:ascii="Arial" w:cs="Arial" w:eastAsia="Arial" w:hAnsi="Arial"/>
                <w:b w:val="false"/>
                <w:bCs w:val="false"/>
                <w:color w:val="1A1A2E"/>
                <w:sz w:val="19"/>
                <w:szCs w:val="19"/>
              </w:rPr>
              <w:t xml:space="preserve">Americas</w:t>
            </w:r>
          </w:p>
        </w:tc>
        <w:tc>
          <w:tcPr>
            <w:tcW w:type="dxa" w:w="1800"/>
            <w:tcBorders>
              <w:top w:val="single" w:color="CCCCCC" w:sz="1"/>
              <w:left w:val="single" w:color="CCCCCC" w:sz="1"/>
              <w:bottom w:val="single" w:color="CCCCCC" w:sz="1"/>
              <w:right w:val="single" w:color="CCCCCC" w:sz="1"/>
            </w:tcBorders>
            <w:shd w:fill="FFF0F0" w:val="clear"/>
            <w:tcMar>
              <w:top w:type="dxa" w:w="80"/>
              <w:left w:type="dxa" w:w="120"/>
              <w:bottom w:type="dxa" w:w="80"/>
              <w:right w:type="dxa" w:w="120"/>
            </w:tcMar>
            <w:vAlign w:val="center"/>
          </w:tcPr>
          <w:p>
            <w:pPr>
              <w:jc w:val="center"/>
            </w:pPr>
            <w:r>
              <w:rPr>
                <w:rFonts w:ascii="Arial" w:cs="Arial" w:eastAsia="Arial" w:hAnsi="Arial"/>
                <w:b/>
                <w:bCs/>
                <w:color w:val="B71C1C"/>
                <w:sz w:val="19"/>
                <w:szCs w:val="19"/>
              </w:rPr>
              <w:t xml:space="preserve">15.6</w:t>
            </w:r>
          </w:p>
        </w:tc>
        <w:tc>
          <w:tcPr>
            <w:tcW w:type="dxa" w:w="4760"/>
            <w:tcBorders>
              <w:top w:val="single" w:color="CCCCCC" w:sz="1"/>
              <w:left w:val="single" w:color="CCCCCC" w:sz="1"/>
              <w:bottom w:val="single" w:color="CCCCCC" w:sz="1"/>
              <w:right w:val="single" w:color="CCCCCC" w:sz="1"/>
            </w:tcBorders>
            <w:shd w:fill="F0F4F4" w:val="clear"/>
            <w:tcMar>
              <w:top w:type="dxa" w:w="80"/>
              <w:left w:type="dxa" w:w="120"/>
              <w:bottom w:type="dxa" w:w="80"/>
              <w:right w:type="dxa" w:w="120"/>
            </w:tcMar>
            <w:vAlign w:val="center"/>
          </w:tcPr>
          <w:p>
            <w:pPr>
              <w:jc w:val="left"/>
            </w:pPr>
            <w:r>
              <w:rPr>
                <w:rFonts w:ascii="Arial" w:cs="Arial" w:eastAsia="Arial" w:hAnsi="Arial"/>
                <w:b w:val="false"/>
                <w:bCs w:val="false"/>
                <w:color w:val="1A1A2E"/>
                <w:sz w:val="19"/>
                <w:szCs w:val="19"/>
              </w:rPr>
              <w:t xml:space="preserve">Wide gap between North America and Latin America</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1A1A2E"/>
                <w:sz w:val="19"/>
                <w:szCs w:val="19"/>
              </w:rPr>
              <w:t xml:space="preserve">Europe</w:t>
            </w:r>
          </w:p>
        </w:tc>
        <w:tc>
          <w:tcPr>
            <w:tcW w:type="dxa" w:w="1800"/>
            <w:tcBorders>
              <w:top w:val="single" w:color="CCCCCC" w:sz="1"/>
              <w:left w:val="single" w:color="CCCCCC" w:sz="1"/>
              <w:bottom w:val="single" w:color="CCCCCC" w:sz="1"/>
              <w:right w:val="single" w:color="CCCCCC" w:sz="1"/>
            </w:tcBorders>
            <w:shd w:fill="FFF0F0" w:val="clear"/>
            <w:tcMar>
              <w:top w:type="dxa" w:w="80"/>
              <w:left w:type="dxa" w:w="120"/>
              <w:bottom w:type="dxa" w:w="80"/>
              <w:right w:type="dxa" w:w="120"/>
            </w:tcMar>
            <w:vAlign w:val="center"/>
          </w:tcPr>
          <w:p>
            <w:pPr>
              <w:jc w:val="center"/>
            </w:pPr>
            <w:r>
              <w:rPr>
                <w:rFonts w:ascii="Arial" w:cs="Arial" w:eastAsia="Arial" w:hAnsi="Arial"/>
                <w:b/>
                <w:bCs/>
                <w:color w:val="B71C1C"/>
                <w:sz w:val="19"/>
                <w:szCs w:val="19"/>
              </w:rPr>
              <w:t xml:space="preserve">9.3</w:t>
            </w:r>
          </w:p>
        </w:tc>
        <w:tc>
          <w:tcPr>
            <w:tcW w:type="dxa" w:w="4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1A1A2E"/>
                <w:sz w:val="19"/>
                <w:szCs w:val="19"/>
              </w:rPr>
              <w:t xml:space="preserve">Lowest rate globally; strong regulatory frameworks</w:t>
            </w:r>
          </w:p>
        </w:tc>
      </w:tr>
    </w:tbl>
    <w:p>
      <w:pPr>
        <w:spacing w:before="60" w:after="60"/>
      </w:pPr>
      <w:r>
        <w:t xml:space="preserve"/>
      </w:r>
    </w:p>
    <w:p>
      <w:pPr>
        <w:pStyle w:val="Heading2"/>
        <w:spacing w:before="280" w:after="120"/>
      </w:pPr>
      <w:r>
        <w:rPr>
          <w:rFonts w:ascii="Arial" w:cs="Arial" w:eastAsia="Arial" w:hAnsi="Arial"/>
          <w:b/>
          <w:bCs/>
          <w:color w:val="1A1A2E"/>
          <w:sz w:val="26"/>
          <w:szCs w:val="26"/>
        </w:rPr>
        <w:t xml:space="preserve">Highest Death Rates by Country (WHO data)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1800"/>
        <w:gridCol w:w="5160"/>
      </w:tblGrid>
      <w:tr>
        <w:trPr>
          <w:tblHeader/>
        </w:trPr>
        <w:tc>
          <w:tcPr>
            <w:tcW w:type="dxa" w:w="2400"/>
            <w:tcBorders>
              <w:top w:val="single" w:color="CCCCCC" w:sz="1"/>
              <w:left w:val="single" w:color="CCCCCC" w:sz="1"/>
              <w:bottom w:val="single" w:color="CCCCCC" w:sz="1"/>
              <w:right w:val="single" w:color="CCCCCC" w:sz="1"/>
            </w:tcBorders>
            <w:shd w:fill="1A1A2E" w:val="clear"/>
            <w:tcMar>
              <w:top w:type="dxa" w:w="80"/>
              <w:left w:type="dxa" w:w="120"/>
              <w:bottom w:type="dxa" w:w="80"/>
              <w:right w:type="dxa" w:w="120"/>
            </w:tcMar>
          </w:tcPr>
          <w:p>
            <w:pPr>
              <w:jc w:val="left"/>
            </w:pPr>
            <w:r>
              <w:rPr>
                <w:rFonts w:ascii="Arial" w:cs="Arial" w:eastAsia="Arial" w:hAnsi="Arial"/>
                <w:b/>
                <w:bCs/>
                <w:color w:val="FFFFFF"/>
                <w:sz w:val="19"/>
                <w:szCs w:val="19"/>
              </w:rPr>
              <w:t xml:space="preserve">Country</w:t>
            </w:r>
          </w:p>
        </w:tc>
        <w:tc>
          <w:tcPr>
            <w:tcW w:type="dxa" w:w="1800"/>
            <w:tcBorders>
              <w:top w:val="single" w:color="CCCCCC" w:sz="1"/>
              <w:left w:val="single" w:color="CCCCCC" w:sz="1"/>
              <w:bottom w:val="single" w:color="CCCCCC" w:sz="1"/>
              <w:right w:val="single" w:color="CCCCCC" w:sz="1"/>
            </w:tcBorders>
            <w:shd w:fill="1A1A2E" w:val="clear"/>
            <w:tcMar>
              <w:top w:type="dxa" w:w="80"/>
              <w:left w:type="dxa" w:w="120"/>
              <w:bottom w:type="dxa" w:w="80"/>
              <w:right w:type="dxa" w:w="120"/>
            </w:tcMar>
          </w:tcPr>
          <w:p>
            <w:pPr>
              <w:jc w:val="center"/>
            </w:pPr>
            <w:r>
              <w:rPr>
                <w:rFonts w:ascii="Arial" w:cs="Arial" w:eastAsia="Arial" w:hAnsi="Arial"/>
                <w:b/>
                <w:bCs/>
                <w:color w:val="FFFFFF"/>
                <w:sz w:val="19"/>
                <w:szCs w:val="19"/>
              </w:rPr>
              <w:t xml:space="preserve">Deaths/100k</w:t>
            </w:r>
          </w:p>
        </w:tc>
        <w:tc>
          <w:tcPr>
            <w:tcW w:type="dxa" w:w="5160"/>
            <w:tcBorders>
              <w:top w:val="single" w:color="CCCCCC" w:sz="1"/>
              <w:left w:val="single" w:color="CCCCCC" w:sz="1"/>
              <w:bottom w:val="single" w:color="CCCCCC" w:sz="1"/>
              <w:right w:val="single" w:color="CCCCCC" w:sz="1"/>
            </w:tcBorders>
            <w:shd w:fill="1A1A2E" w:val="clear"/>
            <w:tcMar>
              <w:top w:type="dxa" w:w="80"/>
              <w:left w:type="dxa" w:w="120"/>
              <w:bottom w:type="dxa" w:w="80"/>
              <w:right w:type="dxa" w:w="120"/>
            </w:tcMar>
          </w:tcPr>
          <w:p>
            <w:pPr>
              <w:jc w:val="left"/>
            </w:pPr>
            <w:r>
              <w:rPr>
                <w:rFonts w:ascii="Arial" w:cs="Arial" w:eastAsia="Arial" w:hAnsi="Arial"/>
                <w:b/>
                <w:bCs/>
                <w:color w:val="FFFFFF"/>
                <w:sz w:val="19"/>
                <w:szCs w:val="19"/>
              </w:rPr>
              <w:t xml:space="preserve">Context</w:t>
            </w:r>
          </w:p>
        </w:tc>
      </w:tr>
      <w:tr>
        <w:tc>
          <w:tcPr>
            <w:tcW w:type="dxa" w:w="2400"/>
            <w:tcBorders>
              <w:top w:val="single" w:color="CCCCCC" w:sz="1"/>
              <w:left w:val="single" w:color="CCCCCC" w:sz="1"/>
              <w:bottom w:val="single" w:color="CCCCCC" w:sz="1"/>
              <w:right w:val="single" w:color="CCCCCC" w:sz="1"/>
            </w:tcBorders>
            <w:shd w:fill="F0F4F4" w:val="clear"/>
            <w:tcMar>
              <w:top w:type="dxa" w:w="80"/>
              <w:left w:type="dxa" w:w="120"/>
              <w:bottom w:type="dxa" w:w="80"/>
              <w:right w:type="dxa" w:w="120"/>
            </w:tcMar>
            <w:vAlign w:val="center"/>
          </w:tcPr>
          <w:p>
            <w:pPr>
              <w:jc w:val="left"/>
            </w:pPr>
            <w:r>
              <w:rPr>
                <w:rFonts w:ascii="Arial" w:cs="Arial" w:eastAsia="Arial" w:hAnsi="Arial"/>
                <w:b w:val="false"/>
                <w:bCs w:val="false"/>
                <w:color w:val="1A1A2E"/>
                <w:sz w:val="19"/>
                <w:szCs w:val="19"/>
              </w:rPr>
              <w:t xml:space="preserve">Guinea</w:t>
            </w:r>
          </w:p>
        </w:tc>
        <w:tc>
          <w:tcPr>
            <w:tcW w:type="dxa" w:w="1800"/>
            <w:tcBorders>
              <w:top w:val="single" w:color="CCCCCC" w:sz="1"/>
              <w:left w:val="single" w:color="CCCCCC" w:sz="1"/>
              <w:bottom w:val="single" w:color="CCCCCC" w:sz="1"/>
              <w:right w:val="single" w:color="CCCCCC" w:sz="1"/>
            </w:tcBorders>
            <w:shd w:fill="FFF0F0" w:val="clear"/>
            <w:tcMar>
              <w:top w:type="dxa" w:w="80"/>
              <w:left w:type="dxa" w:w="120"/>
              <w:bottom w:type="dxa" w:w="80"/>
              <w:right w:type="dxa" w:w="120"/>
            </w:tcMar>
            <w:vAlign w:val="center"/>
          </w:tcPr>
          <w:p>
            <w:pPr>
              <w:jc w:val="center"/>
            </w:pPr>
            <w:r>
              <w:rPr>
                <w:rFonts w:ascii="Arial" w:cs="Arial" w:eastAsia="Arial" w:hAnsi="Arial"/>
                <w:b/>
                <w:bCs/>
                <w:color w:val="B71C1C"/>
                <w:sz w:val="19"/>
                <w:szCs w:val="19"/>
              </w:rPr>
              <w:t xml:space="preserve">37.0</w:t>
            </w:r>
          </w:p>
        </w:tc>
        <w:tc>
          <w:tcPr>
            <w:tcW w:type="dxa" w:w="5160"/>
            <w:tcBorders>
              <w:top w:val="single" w:color="CCCCCC" w:sz="1"/>
              <w:left w:val="single" w:color="CCCCCC" w:sz="1"/>
              <w:bottom w:val="single" w:color="CCCCCC" w:sz="1"/>
              <w:right w:val="single" w:color="CCCCCC" w:sz="1"/>
            </w:tcBorders>
            <w:shd w:fill="F0F4F4" w:val="clear"/>
            <w:tcMar>
              <w:top w:type="dxa" w:w="80"/>
              <w:left w:type="dxa" w:w="120"/>
              <w:bottom w:type="dxa" w:w="80"/>
              <w:right w:type="dxa" w:w="120"/>
            </w:tcMar>
            <w:vAlign w:val="center"/>
          </w:tcPr>
          <w:p>
            <w:pPr>
              <w:jc w:val="left"/>
            </w:pPr>
            <w:r>
              <w:rPr>
                <w:rFonts w:ascii="Arial" w:cs="Arial" w:eastAsia="Arial" w:hAnsi="Arial"/>
                <w:b w:val="false"/>
                <w:bCs w:val="false"/>
                <w:color w:val="1A1A2E"/>
                <w:sz w:val="19"/>
                <w:szCs w:val="19"/>
              </w:rPr>
              <w:t xml:space="preserve">West Africa — leading cause; highest per capita rate globally</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1A1A2E"/>
                <w:sz w:val="19"/>
                <w:szCs w:val="19"/>
              </w:rPr>
              <w:t xml:space="preserve">Libya</w:t>
            </w:r>
          </w:p>
        </w:tc>
        <w:tc>
          <w:tcPr>
            <w:tcW w:type="dxa" w:w="1800"/>
            <w:tcBorders>
              <w:top w:val="single" w:color="CCCCCC" w:sz="1"/>
              <w:left w:val="single" w:color="CCCCCC" w:sz="1"/>
              <w:bottom w:val="single" w:color="CCCCCC" w:sz="1"/>
              <w:right w:val="single" w:color="CCCCCC" w:sz="1"/>
            </w:tcBorders>
            <w:shd w:fill="FFF0F0" w:val="clear"/>
            <w:tcMar>
              <w:top w:type="dxa" w:w="80"/>
              <w:left w:type="dxa" w:w="120"/>
              <w:bottom w:type="dxa" w:w="80"/>
              <w:right w:type="dxa" w:w="120"/>
            </w:tcMar>
            <w:vAlign w:val="center"/>
          </w:tcPr>
          <w:p>
            <w:pPr>
              <w:jc w:val="center"/>
            </w:pPr>
            <w:r>
              <w:rPr>
                <w:rFonts w:ascii="Arial" w:cs="Arial" w:eastAsia="Arial" w:hAnsi="Arial"/>
                <w:b/>
                <w:bCs/>
                <w:color w:val="B71C1C"/>
                <w:sz w:val="19"/>
                <w:szCs w:val="19"/>
              </w:rPr>
              <w:t xml:space="preserve">34.0</w:t>
            </w:r>
          </w:p>
        </w:tc>
        <w:tc>
          <w:tcPr>
            <w:tcW w:type="dxa" w:w="5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1A1A2E"/>
                <w:sz w:val="19"/>
                <w:szCs w:val="19"/>
              </w:rPr>
              <w:t xml:space="preserve">Conflict-weakened infrastructure and enforcement</w:t>
            </w:r>
          </w:p>
        </w:tc>
      </w:tr>
      <w:tr>
        <w:tc>
          <w:tcPr>
            <w:tcW w:type="dxa" w:w="2400"/>
            <w:tcBorders>
              <w:top w:val="single" w:color="CCCCCC" w:sz="1"/>
              <w:left w:val="single" w:color="CCCCCC" w:sz="1"/>
              <w:bottom w:val="single" w:color="CCCCCC" w:sz="1"/>
              <w:right w:val="single" w:color="CCCCCC" w:sz="1"/>
            </w:tcBorders>
            <w:shd w:fill="F0F4F4" w:val="clear"/>
            <w:tcMar>
              <w:top w:type="dxa" w:w="80"/>
              <w:left w:type="dxa" w:w="120"/>
              <w:bottom w:type="dxa" w:w="80"/>
              <w:right w:type="dxa" w:w="120"/>
            </w:tcMar>
            <w:vAlign w:val="center"/>
          </w:tcPr>
          <w:p>
            <w:pPr>
              <w:jc w:val="left"/>
            </w:pPr>
            <w:r>
              <w:rPr>
                <w:rFonts w:ascii="Arial" w:cs="Arial" w:eastAsia="Arial" w:hAnsi="Arial"/>
                <w:b w:val="false"/>
                <w:bCs w:val="false"/>
                <w:color w:val="1A1A2E"/>
                <w:sz w:val="19"/>
                <w:szCs w:val="19"/>
              </w:rPr>
              <w:t xml:space="preserve">Haiti</w:t>
            </w:r>
          </w:p>
        </w:tc>
        <w:tc>
          <w:tcPr>
            <w:tcW w:type="dxa" w:w="1800"/>
            <w:tcBorders>
              <w:top w:val="single" w:color="CCCCCC" w:sz="1"/>
              <w:left w:val="single" w:color="CCCCCC" w:sz="1"/>
              <w:bottom w:val="single" w:color="CCCCCC" w:sz="1"/>
              <w:right w:val="single" w:color="CCCCCC" w:sz="1"/>
            </w:tcBorders>
            <w:shd w:fill="FFF0F0" w:val="clear"/>
            <w:tcMar>
              <w:top w:type="dxa" w:w="80"/>
              <w:left w:type="dxa" w:w="120"/>
              <w:bottom w:type="dxa" w:w="80"/>
              <w:right w:type="dxa" w:w="120"/>
            </w:tcMar>
            <w:vAlign w:val="center"/>
          </w:tcPr>
          <w:p>
            <w:pPr>
              <w:jc w:val="center"/>
            </w:pPr>
            <w:r>
              <w:rPr>
                <w:rFonts w:ascii="Arial" w:cs="Arial" w:eastAsia="Arial" w:hAnsi="Arial"/>
                <w:b/>
                <w:bCs/>
                <w:color w:val="B71C1C"/>
                <w:sz w:val="19"/>
                <w:szCs w:val="19"/>
              </w:rPr>
              <w:t xml:space="preserve">31.0</w:t>
            </w:r>
          </w:p>
        </w:tc>
        <w:tc>
          <w:tcPr>
            <w:tcW w:type="dxa" w:w="5160"/>
            <w:tcBorders>
              <w:top w:val="single" w:color="CCCCCC" w:sz="1"/>
              <w:left w:val="single" w:color="CCCCCC" w:sz="1"/>
              <w:bottom w:val="single" w:color="CCCCCC" w:sz="1"/>
              <w:right w:val="single" w:color="CCCCCC" w:sz="1"/>
            </w:tcBorders>
            <w:shd w:fill="F0F4F4" w:val="clear"/>
            <w:tcMar>
              <w:top w:type="dxa" w:w="80"/>
              <w:left w:type="dxa" w:w="120"/>
              <w:bottom w:type="dxa" w:w="80"/>
              <w:right w:type="dxa" w:w="120"/>
            </w:tcMar>
            <w:vAlign w:val="center"/>
          </w:tcPr>
          <w:p>
            <w:pPr>
              <w:jc w:val="left"/>
            </w:pPr>
            <w:r>
              <w:rPr>
                <w:rFonts w:ascii="Arial" w:cs="Arial" w:eastAsia="Arial" w:hAnsi="Arial"/>
                <w:b w:val="false"/>
                <w:bCs w:val="false"/>
                <w:color w:val="1A1A2E"/>
                <w:sz w:val="19"/>
                <w:szCs w:val="19"/>
              </w:rPr>
              <w:t xml:space="preserve">Political instability; near-absent road safety system</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1A1A2E"/>
                <w:sz w:val="19"/>
                <w:szCs w:val="19"/>
              </w:rPr>
              <w:t xml:space="preserve">Dominican Republic</w:t>
            </w:r>
          </w:p>
        </w:tc>
        <w:tc>
          <w:tcPr>
            <w:tcW w:type="dxa" w:w="1800"/>
            <w:tcBorders>
              <w:top w:val="single" w:color="CCCCCC" w:sz="1"/>
              <w:left w:val="single" w:color="CCCCCC" w:sz="1"/>
              <w:bottom w:val="single" w:color="CCCCCC" w:sz="1"/>
              <w:right w:val="single" w:color="CCCCCC" w:sz="1"/>
            </w:tcBorders>
            <w:shd w:fill="FFF0F0" w:val="clear"/>
            <w:tcMar>
              <w:top w:type="dxa" w:w="80"/>
              <w:left w:type="dxa" w:w="120"/>
              <w:bottom w:type="dxa" w:w="80"/>
              <w:right w:type="dxa" w:w="120"/>
            </w:tcMar>
            <w:vAlign w:val="center"/>
          </w:tcPr>
          <w:p>
            <w:pPr>
              <w:jc w:val="center"/>
            </w:pPr>
            <w:r>
              <w:rPr>
                <w:rFonts w:ascii="Arial" w:cs="Arial" w:eastAsia="Arial" w:hAnsi="Arial"/>
                <w:b/>
                <w:bCs/>
                <w:color w:val="B71C1C"/>
                <w:sz w:val="19"/>
                <w:szCs w:val="19"/>
              </w:rPr>
              <w:t xml:space="preserve">~30.0</w:t>
            </w:r>
          </w:p>
        </w:tc>
        <w:tc>
          <w:tcPr>
            <w:tcW w:type="dxa" w:w="5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1A1A2E"/>
                <w:sz w:val="19"/>
                <w:szCs w:val="19"/>
              </w:rPr>
              <w:t xml:space="preserve">Caribbean — historically highest in region</w:t>
            </w:r>
          </w:p>
        </w:tc>
      </w:tr>
      <w:tr>
        <w:tc>
          <w:tcPr>
            <w:tcW w:type="dxa" w:w="2400"/>
            <w:tcBorders>
              <w:top w:val="single" w:color="CCCCCC" w:sz="1"/>
              <w:left w:val="single" w:color="CCCCCC" w:sz="1"/>
              <w:bottom w:val="single" w:color="CCCCCC" w:sz="1"/>
              <w:right w:val="single" w:color="CCCCCC" w:sz="1"/>
            </w:tcBorders>
            <w:shd w:fill="F0F4F4" w:val="clear"/>
            <w:tcMar>
              <w:top w:type="dxa" w:w="80"/>
              <w:left w:type="dxa" w:w="120"/>
              <w:bottom w:type="dxa" w:w="80"/>
              <w:right w:type="dxa" w:w="120"/>
            </w:tcMar>
            <w:vAlign w:val="center"/>
          </w:tcPr>
          <w:p>
            <w:pPr>
              <w:jc w:val="left"/>
            </w:pPr>
            <w:r>
              <w:rPr>
                <w:rFonts w:ascii="Arial" w:cs="Arial" w:eastAsia="Arial" w:hAnsi="Arial"/>
                <w:b w:val="false"/>
                <w:bCs w:val="false"/>
                <w:color w:val="1A1A2E"/>
                <w:sz w:val="19"/>
                <w:szCs w:val="19"/>
              </w:rPr>
              <w:t xml:space="preserve">Zimbabwe</w:t>
            </w:r>
          </w:p>
        </w:tc>
        <w:tc>
          <w:tcPr>
            <w:tcW w:type="dxa" w:w="1800"/>
            <w:tcBorders>
              <w:top w:val="single" w:color="CCCCCC" w:sz="1"/>
              <w:left w:val="single" w:color="CCCCCC" w:sz="1"/>
              <w:bottom w:val="single" w:color="CCCCCC" w:sz="1"/>
              <w:right w:val="single" w:color="CCCCCC" w:sz="1"/>
            </w:tcBorders>
            <w:shd w:fill="FFF0F0" w:val="clear"/>
            <w:tcMar>
              <w:top w:type="dxa" w:w="80"/>
              <w:left w:type="dxa" w:w="120"/>
              <w:bottom w:type="dxa" w:w="80"/>
              <w:right w:type="dxa" w:w="120"/>
            </w:tcMar>
            <w:vAlign w:val="center"/>
          </w:tcPr>
          <w:p>
            <w:pPr>
              <w:jc w:val="center"/>
            </w:pPr>
            <w:r>
              <w:rPr>
                <w:rFonts w:ascii="Arial" w:cs="Arial" w:eastAsia="Arial" w:hAnsi="Arial"/>
                <w:b/>
                <w:bCs/>
                <w:color w:val="B71C1C"/>
                <w:sz w:val="19"/>
                <w:szCs w:val="19"/>
              </w:rPr>
              <w:t xml:space="preserve">~29.0</w:t>
            </w:r>
          </w:p>
        </w:tc>
        <w:tc>
          <w:tcPr>
            <w:tcW w:type="dxa" w:w="5160"/>
            <w:tcBorders>
              <w:top w:val="single" w:color="CCCCCC" w:sz="1"/>
              <w:left w:val="single" w:color="CCCCCC" w:sz="1"/>
              <w:bottom w:val="single" w:color="CCCCCC" w:sz="1"/>
              <w:right w:val="single" w:color="CCCCCC" w:sz="1"/>
            </w:tcBorders>
            <w:shd w:fill="F0F4F4" w:val="clear"/>
            <w:tcMar>
              <w:top w:type="dxa" w:w="80"/>
              <w:left w:type="dxa" w:w="120"/>
              <w:bottom w:type="dxa" w:w="80"/>
              <w:right w:type="dxa" w:w="120"/>
            </w:tcMar>
            <w:vAlign w:val="center"/>
          </w:tcPr>
          <w:p>
            <w:pPr>
              <w:jc w:val="left"/>
            </w:pPr>
            <w:r>
              <w:rPr>
                <w:rFonts w:ascii="Arial" w:cs="Arial" w:eastAsia="Arial" w:hAnsi="Arial"/>
                <w:b w:val="false"/>
                <w:bCs w:val="false"/>
                <w:color w:val="1A1A2E"/>
                <w:sz w:val="19"/>
                <w:szCs w:val="19"/>
              </w:rPr>
              <w:t xml:space="preserve">Severe infrastructure deficit and enforcement gap</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1A1A2E"/>
                <w:sz w:val="19"/>
                <w:szCs w:val="19"/>
              </w:rPr>
              <w:t xml:space="preserve">Venezuela</w:t>
            </w:r>
          </w:p>
        </w:tc>
        <w:tc>
          <w:tcPr>
            <w:tcW w:type="dxa" w:w="1800"/>
            <w:tcBorders>
              <w:top w:val="single" w:color="CCCCCC" w:sz="1"/>
              <w:left w:val="single" w:color="CCCCCC" w:sz="1"/>
              <w:bottom w:val="single" w:color="CCCCCC" w:sz="1"/>
              <w:right w:val="single" w:color="CCCCCC" w:sz="1"/>
            </w:tcBorders>
            <w:shd w:fill="FFF0F0" w:val="clear"/>
            <w:tcMar>
              <w:top w:type="dxa" w:w="80"/>
              <w:left w:type="dxa" w:w="120"/>
              <w:bottom w:type="dxa" w:w="80"/>
              <w:right w:type="dxa" w:w="120"/>
            </w:tcMar>
            <w:vAlign w:val="center"/>
          </w:tcPr>
          <w:p>
            <w:pPr>
              <w:jc w:val="center"/>
            </w:pPr>
            <w:r>
              <w:rPr>
                <w:rFonts w:ascii="Arial" w:cs="Arial" w:eastAsia="Arial" w:hAnsi="Arial"/>
                <w:b/>
                <w:bCs/>
                <w:color w:val="B71C1C"/>
                <w:sz w:val="19"/>
                <w:szCs w:val="19"/>
              </w:rPr>
              <w:t xml:space="preserve">~27.0</w:t>
            </w:r>
          </w:p>
        </w:tc>
        <w:tc>
          <w:tcPr>
            <w:tcW w:type="dxa" w:w="5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1A1A2E"/>
                <w:sz w:val="19"/>
                <w:szCs w:val="19"/>
              </w:rPr>
              <w:t xml:space="preserve">Economic crisis has disabled road safety systems</w:t>
            </w:r>
          </w:p>
        </w:tc>
      </w:tr>
      <w:tr>
        <w:tc>
          <w:tcPr>
            <w:tcW w:type="dxa" w:w="2400"/>
            <w:tcBorders>
              <w:top w:val="single" w:color="CCCCCC" w:sz="1"/>
              <w:left w:val="single" w:color="CCCCCC" w:sz="1"/>
              <w:bottom w:val="single" w:color="CCCCCC" w:sz="1"/>
              <w:right w:val="single" w:color="CCCCCC" w:sz="1"/>
            </w:tcBorders>
            <w:shd w:fill="F0F4F4" w:val="clear"/>
            <w:tcMar>
              <w:top w:type="dxa" w:w="80"/>
              <w:left w:type="dxa" w:w="120"/>
              <w:bottom w:type="dxa" w:w="80"/>
              <w:right w:type="dxa" w:w="120"/>
            </w:tcMar>
            <w:vAlign w:val="center"/>
          </w:tcPr>
          <w:p>
            <w:pPr>
              <w:jc w:val="left"/>
            </w:pPr>
            <w:r>
              <w:rPr>
                <w:rFonts w:ascii="Arial" w:cs="Arial" w:eastAsia="Arial" w:hAnsi="Arial"/>
                <w:b w:val="false"/>
                <w:bCs w:val="false"/>
                <w:color w:val="1A1A2E"/>
                <w:sz w:val="19"/>
                <w:szCs w:val="19"/>
              </w:rPr>
              <w:t xml:space="preserve">Nigeria</w:t>
            </w:r>
          </w:p>
        </w:tc>
        <w:tc>
          <w:tcPr>
            <w:tcW w:type="dxa" w:w="1800"/>
            <w:tcBorders>
              <w:top w:val="single" w:color="CCCCCC" w:sz="1"/>
              <w:left w:val="single" w:color="CCCCCC" w:sz="1"/>
              <w:bottom w:val="single" w:color="CCCCCC" w:sz="1"/>
              <w:right w:val="single" w:color="CCCCCC" w:sz="1"/>
            </w:tcBorders>
            <w:shd w:fill="FFF0F0" w:val="clear"/>
            <w:tcMar>
              <w:top w:type="dxa" w:w="80"/>
              <w:left w:type="dxa" w:w="120"/>
              <w:bottom w:type="dxa" w:w="80"/>
              <w:right w:type="dxa" w:w="120"/>
            </w:tcMar>
            <w:vAlign w:val="center"/>
          </w:tcPr>
          <w:p>
            <w:pPr>
              <w:jc w:val="center"/>
            </w:pPr>
            <w:r>
              <w:rPr>
                <w:rFonts w:ascii="Arial" w:cs="Arial" w:eastAsia="Arial" w:hAnsi="Arial"/>
                <w:b/>
                <w:bCs/>
                <w:color w:val="B71C1C"/>
                <w:sz w:val="19"/>
                <w:szCs w:val="19"/>
              </w:rPr>
              <w:t xml:space="preserve">~26.5</w:t>
            </w:r>
          </w:p>
        </w:tc>
        <w:tc>
          <w:tcPr>
            <w:tcW w:type="dxa" w:w="5160"/>
            <w:tcBorders>
              <w:top w:val="single" w:color="CCCCCC" w:sz="1"/>
              <w:left w:val="single" w:color="CCCCCC" w:sz="1"/>
              <w:bottom w:val="single" w:color="CCCCCC" w:sz="1"/>
              <w:right w:val="single" w:color="CCCCCC" w:sz="1"/>
            </w:tcBorders>
            <w:shd w:fill="F0F4F4" w:val="clear"/>
            <w:tcMar>
              <w:top w:type="dxa" w:w="80"/>
              <w:left w:type="dxa" w:w="120"/>
              <w:bottom w:type="dxa" w:w="80"/>
              <w:right w:type="dxa" w:w="120"/>
            </w:tcMar>
            <w:vAlign w:val="center"/>
          </w:tcPr>
          <w:p>
            <w:pPr>
              <w:jc w:val="left"/>
            </w:pPr>
            <w:r>
              <w:rPr>
                <w:rFonts w:ascii="Arial" w:cs="Arial" w:eastAsia="Arial" w:hAnsi="Arial"/>
                <w:b w:val="false"/>
                <w:bCs w:val="false"/>
                <w:color w:val="1A1A2E"/>
                <w:sz w:val="19"/>
                <w:szCs w:val="19"/>
              </w:rPr>
              <w:t xml:space="preserve">Largest death toll in Africa by absolute numbers</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1A1A2E"/>
                <w:sz w:val="19"/>
                <w:szCs w:val="19"/>
              </w:rPr>
              <w:t xml:space="preserve">Brazil</w:t>
            </w:r>
          </w:p>
        </w:tc>
        <w:tc>
          <w:tcPr>
            <w:tcW w:type="dxa" w:w="1800"/>
            <w:tcBorders>
              <w:top w:val="single" w:color="CCCCCC" w:sz="1"/>
              <w:left w:val="single" w:color="CCCCCC" w:sz="1"/>
              <w:bottom w:val="single" w:color="CCCCCC" w:sz="1"/>
              <w:right w:val="single" w:color="CCCCCC" w:sz="1"/>
            </w:tcBorders>
            <w:shd w:fill="FFF0F0" w:val="clear"/>
            <w:tcMar>
              <w:top w:type="dxa" w:w="80"/>
              <w:left w:type="dxa" w:w="120"/>
              <w:bottom w:type="dxa" w:w="80"/>
              <w:right w:type="dxa" w:w="120"/>
            </w:tcMar>
            <w:vAlign w:val="center"/>
          </w:tcPr>
          <w:p>
            <w:pPr>
              <w:jc w:val="center"/>
            </w:pPr>
            <w:r>
              <w:rPr>
                <w:rFonts w:ascii="Arial" w:cs="Arial" w:eastAsia="Arial" w:hAnsi="Arial"/>
                <w:b/>
                <w:bCs/>
                <w:color w:val="B71C1C"/>
                <w:sz w:val="19"/>
                <w:szCs w:val="19"/>
              </w:rPr>
              <w:t xml:space="preserve">~19.5</w:t>
            </w:r>
          </w:p>
        </w:tc>
        <w:tc>
          <w:tcPr>
            <w:tcW w:type="dxa" w:w="5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1A1A2E"/>
                <w:sz w:val="19"/>
                <w:szCs w:val="19"/>
              </w:rPr>
              <w:t xml:space="preserve">Over 37,000 deaths/year — 40% of all Latin American road deaths</w:t>
            </w:r>
          </w:p>
        </w:tc>
      </w:tr>
      <w:tr>
        <w:tc>
          <w:tcPr>
            <w:tcW w:type="dxa" w:w="2400"/>
            <w:tcBorders>
              <w:top w:val="single" w:color="CCCCCC" w:sz="1"/>
              <w:left w:val="single" w:color="CCCCCC" w:sz="1"/>
              <w:bottom w:val="single" w:color="CCCCCC" w:sz="1"/>
              <w:right w:val="single" w:color="CCCCCC" w:sz="1"/>
            </w:tcBorders>
            <w:shd w:fill="F0F4F4" w:val="clear"/>
            <w:tcMar>
              <w:top w:type="dxa" w:w="80"/>
              <w:left w:type="dxa" w:w="120"/>
              <w:bottom w:type="dxa" w:w="80"/>
              <w:right w:type="dxa" w:w="120"/>
            </w:tcMar>
            <w:vAlign w:val="center"/>
          </w:tcPr>
          <w:p>
            <w:pPr>
              <w:jc w:val="left"/>
            </w:pPr>
            <w:r>
              <w:rPr>
                <w:rFonts w:ascii="Arial" w:cs="Arial" w:eastAsia="Arial" w:hAnsi="Arial"/>
                <w:b w:val="false"/>
                <w:bCs w:val="false"/>
                <w:color w:val="1A1A2E"/>
                <w:sz w:val="19"/>
                <w:szCs w:val="19"/>
              </w:rPr>
              <w:t xml:space="preserve">India</w:t>
            </w:r>
          </w:p>
        </w:tc>
        <w:tc>
          <w:tcPr>
            <w:tcW w:type="dxa" w:w="1800"/>
            <w:tcBorders>
              <w:top w:val="single" w:color="CCCCCC" w:sz="1"/>
              <w:left w:val="single" w:color="CCCCCC" w:sz="1"/>
              <w:bottom w:val="single" w:color="CCCCCC" w:sz="1"/>
              <w:right w:val="single" w:color="CCCCCC" w:sz="1"/>
            </w:tcBorders>
            <w:shd w:fill="FFF0F0" w:val="clear"/>
            <w:tcMar>
              <w:top w:type="dxa" w:w="80"/>
              <w:left w:type="dxa" w:w="120"/>
              <w:bottom w:type="dxa" w:w="80"/>
              <w:right w:type="dxa" w:w="120"/>
            </w:tcMar>
            <w:vAlign w:val="center"/>
          </w:tcPr>
          <w:p>
            <w:pPr>
              <w:jc w:val="center"/>
            </w:pPr>
            <w:r>
              <w:rPr>
                <w:rFonts w:ascii="Arial" w:cs="Arial" w:eastAsia="Arial" w:hAnsi="Arial"/>
                <w:b/>
                <w:bCs/>
                <w:color w:val="B71C1C"/>
                <w:sz w:val="19"/>
                <w:szCs w:val="19"/>
              </w:rPr>
              <w:t xml:space="preserve">~16.0</w:t>
            </w:r>
          </w:p>
        </w:tc>
        <w:tc>
          <w:tcPr>
            <w:tcW w:type="dxa" w:w="5160"/>
            <w:tcBorders>
              <w:top w:val="single" w:color="CCCCCC" w:sz="1"/>
              <w:left w:val="single" w:color="CCCCCC" w:sz="1"/>
              <w:bottom w:val="single" w:color="CCCCCC" w:sz="1"/>
              <w:right w:val="single" w:color="CCCCCC" w:sz="1"/>
            </w:tcBorders>
            <w:shd w:fill="F0F4F4" w:val="clear"/>
            <w:tcMar>
              <w:top w:type="dxa" w:w="80"/>
              <w:left w:type="dxa" w:w="120"/>
              <w:bottom w:type="dxa" w:w="80"/>
              <w:right w:type="dxa" w:w="120"/>
            </w:tcMar>
            <w:vAlign w:val="center"/>
          </w:tcPr>
          <w:p>
            <w:pPr>
              <w:jc w:val="left"/>
            </w:pPr>
            <w:r>
              <w:rPr>
                <w:rFonts w:ascii="Arial" w:cs="Arial" w:eastAsia="Arial" w:hAnsi="Arial"/>
                <w:b w:val="false"/>
                <w:bCs w:val="false"/>
                <w:color w:val="1A1A2E"/>
                <w:sz w:val="19"/>
                <w:szCs w:val="19"/>
              </w:rPr>
              <w:t xml:space="preserve">Highest absolute death toll globally (~150,000/year)</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1A1A2E"/>
                <w:sz w:val="19"/>
                <w:szCs w:val="19"/>
              </w:rPr>
              <w:t xml:space="preserve">United States</w:t>
            </w:r>
          </w:p>
        </w:tc>
        <w:tc>
          <w:tcPr>
            <w:tcW w:type="dxa" w:w="1800"/>
            <w:tcBorders>
              <w:top w:val="single" w:color="CCCCCC" w:sz="1"/>
              <w:left w:val="single" w:color="CCCCCC" w:sz="1"/>
              <w:bottom w:val="single" w:color="CCCCCC" w:sz="1"/>
              <w:right w:val="single" w:color="CCCCCC" w:sz="1"/>
            </w:tcBorders>
            <w:shd w:fill="FFF0F0" w:val="clear"/>
            <w:tcMar>
              <w:top w:type="dxa" w:w="80"/>
              <w:left w:type="dxa" w:w="120"/>
              <w:bottom w:type="dxa" w:w="80"/>
              <w:right w:type="dxa" w:w="120"/>
            </w:tcMar>
            <w:vAlign w:val="center"/>
          </w:tcPr>
          <w:p>
            <w:pPr>
              <w:jc w:val="center"/>
            </w:pPr>
            <w:r>
              <w:rPr>
                <w:rFonts w:ascii="Arial" w:cs="Arial" w:eastAsia="Arial" w:hAnsi="Arial"/>
                <w:b/>
                <w:bCs/>
                <w:color w:val="B71C1C"/>
                <w:sz w:val="19"/>
                <w:szCs w:val="19"/>
              </w:rPr>
              <w:t xml:space="preserve">~13.6</w:t>
            </w:r>
          </w:p>
        </w:tc>
        <w:tc>
          <w:tcPr>
            <w:tcW w:type="dxa" w:w="5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1A1A2E"/>
                <w:sz w:val="19"/>
                <w:szCs w:val="19"/>
              </w:rPr>
              <w:t xml:space="preserve">44,680 deaths in 2024; only 21% reduction since 1991 vs 77% median in comparable nations</w:t>
            </w:r>
          </w:p>
        </w:tc>
      </w:tr>
    </w:tbl>
    <w:p>
      <w:pPr>
        <w:spacing w:before="60" w:after="60"/>
      </w:pPr>
      <w:r>
        <w:t xml:space="preserve"/>
      </w:r>
    </w:p>
    <w:p>
      <w:pPr>
        <w:pStyle w:val="Heading2"/>
        <w:spacing w:before="280" w:after="120"/>
      </w:pPr>
      <w:r>
        <w:rPr>
          <w:rFonts w:ascii="Arial" w:cs="Arial" w:eastAsia="Arial" w:hAnsi="Arial"/>
          <w:b/>
          <w:bCs/>
          <w:color w:val="1A1A2E"/>
          <w:sz w:val="26"/>
          <w:szCs w:val="26"/>
        </w:rPr>
        <w:t xml:space="preserve">The Holoviceose Connection</w:t>
      </w:r>
    </w:p>
    <w:p>
      <w:pPr>
        <w:spacing w:before="80" w:after="120"/>
        <w:jc w:val="both"/>
      </w:pPr>
      <w:r>
        <w:rPr>
          <w:rFonts w:ascii="Arial" w:cs="Arial" w:eastAsia="Arial" w:hAnsi="Arial"/>
          <w:color w:val="1A1A2E"/>
          <w:sz w:val="22"/>
          <w:szCs w:val="22"/>
        </w:rPr>
        <w:t xml:space="preserve">These deaths are structurally produced. The WHO notes that low-income countries have 1% of the world's cars but 16% of the deaths — a disparity that cannot be explained by driver behaviour alone. Underfunded road systems, absent enforcement, and lack of vehicle safety standards are political choices. The same governments that declare public safety a priority systematically defund the infrastructure that would prevent these deaths.</w:t>
      </w:r>
    </w:p>
    <w:p>
      <w:pPr>
        <w:pBdr>
          <w:left w:val="single" w:color="B71C1C" w:sz="6" w:space="12"/>
        </w:pBdr>
        <w:spacing w:before="120" w:after="120"/>
        <w:ind w:left="720" w:right="360"/>
      </w:pPr>
      <w:r>
        <w:rPr>
          <w:rFonts w:ascii="Arial" w:cs="Arial" w:eastAsia="Arial" w:hAnsi="Arial"/>
          <w:i/>
          <w:iCs/>
          <w:color w:val="444444"/>
          <w:sz w:val="20"/>
          <w:szCs w:val="20"/>
        </w:rPr>
        <w:t xml:space="preserve">"The most dangerous roads are not in the most motorized countries — they are in the countries where those in power have chosen not to invest in safety."</w:t>
      </w:r>
    </w:p>
    <w:p>
      <w:pPr>
        <w:spacing w:before="60" w:after="60"/>
      </w:pPr>
      <w:r>
        <w:t xml:space="preserve"/>
      </w:r>
    </w:p>
    <w:p>
      <w:pPr>
        <w:pStyle w:val="Heading1"/>
        <w:pBdr>
          <w:bottom w:val="single" w:color="B71C1C" w:sz="4" w:space="6"/>
        </w:pBdr>
        <w:spacing w:before="360" w:after="180"/>
      </w:pPr>
      <w:r>
        <w:rPr>
          <w:rFonts w:ascii="Arial" w:cs="Arial" w:eastAsia="Arial" w:hAnsi="Arial"/>
          <w:b/>
          <w:bCs/>
          <w:color w:val="B71C1C"/>
          <w:sz w:val="32"/>
          <w:szCs w:val="32"/>
        </w:rPr>
        <w:t xml:space="preserve">III. Homicide &amp; Robbery Deaths — Organized Violence as System</w:t>
      </w:r>
    </w:p>
    <w:p>
      <w:pPr>
        <w:spacing w:before="80" w:after="120"/>
        <w:jc w:val="both"/>
      </w:pPr>
      <w:r>
        <w:rPr>
          <w:rFonts w:ascii="Arial" w:cs="Arial" w:eastAsia="Arial" w:hAnsi="Arial"/>
          <w:color w:val="1A1A2E"/>
          <w:sz w:val="22"/>
          <w:szCs w:val="22"/>
        </w:rPr>
        <w:t xml:space="preserve">According to UNODC, approximately 430,000–500,000 people are intentionally killed each year worldwide. Of these, 22% are linked to organized criminal groups or gangs, and 16% to robbery and other criminal activity. The geography of homicide is not random: it concentrates precisely where state institutions have been weakest, where inequality is deepest, and where virtue-infrastructure has been most systematically destroyed.</w:t>
      </w:r>
    </w:p>
    <w:p>
      <w:pPr>
        <w:spacing w:before="60" w:after="60"/>
      </w:pPr>
      <w:r>
        <w:t xml:space="preserve"/>
      </w:r>
    </w:p>
    <w:p>
      <w:pPr>
        <w:pBdr>
          <w:left w:val="single" w:color="B71C1C" w:sz="6" w:space="12"/>
        </w:pBdr>
        <w:spacing w:before="120" w:after="120"/>
        <w:ind w:left="720" w:right="360"/>
      </w:pPr>
      <w:r>
        <w:rPr>
          <w:rFonts w:ascii="Arial" w:cs="Arial" w:eastAsia="Arial" w:hAnsi="Arial"/>
          <w:i/>
          <w:iCs/>
          <w:color w:val="444444"/>
          <w:sz w:val="20"/>
          <w:szCs w:val="20"/>
        </w:rPr>
        <w:t xml:space="preserve">"The decline in homicide rates is too slow for the world to fulfill its commitments to significantly reducing violence. The global homicide rate rose sharply to 5.8 per 100,000 in 2021 after years of gradual decline."</w:t>
      </w:r>
    </w:p>
    <w:p>
      <w:pPr>
        <w:spacing w:before="40" w:after="80"/>
        <w:ind w:left="720"/>
      </w:pPr>
      <w:r>
        <w:rPr>
          <w:rFonts w:ascii="Arial" w:cs="Arial" w:eastAsia="Arial" w:hAnsi="Arial"/>
          <w:i/>
          <w:iCs/>
          <w:color w:val="777777"/>
          <w:sz w:val="18"/>
          <w:szCs w:val="18"/>
        </w:rPr>
        <w:t xml:space="preserve">— Source: UN SDG Extended Report 2024 — SDG 16.1.1</w:t>
      </w:r>
    </w:p>
    <w:p>
      <w:pPr>
        <w:spacing w:before="60" w:after="60"/>
      </w:pPr>
      <w:r>
        <w:t xml:space="preserve"/>
      </w:r>
    </w:p>
    <w:p>
      <w:pPr>
        <w:pStyle w:val="Heading2"/>
        <w:spacing w:before="280" w:after="120"/>
      </w:pPr>
      <w:r>
        <w:rPr>
          <w:rFonts w:ascii="Arial" w:cs="Arial" w:eastAsia="Arial" w:hAnsi="Arial"/>
          <w:b/>
          <w:bCs/>
          <w:color w:val="1A1A2E"/>
          <w:sz w:val="26"/>
          <w:szCs w:val="26"/>
        </w:rPr>
        <w:t xml:space="preserve">Key Global Statistics</w:t>
      </w:r>
    </w:p>
    <w:p>
      <w:pPr>
        <w:pStyle w:val="ListParagraph"/>
        <w:numPr>
          <w:ilvl w:val="0"/>
          <w:numId w:val="2"/>
        </w:numPr>
        <w:spacing w:before="60" w:after="60"/>
      </w:pPr>
      <w:r>
        <w:rPr>
          <w:rFonts w:ascii="Arial" w:cs="Arial" w:eastAsia="Arial" w:hAnsi="Arial"/>
          <w:color w:val="1A1A2E"/>
          <w:sz w:val="22"/>
          <w:szCs w:val="22"/>
        </w:rPr>
        <w:t xml:space="preserve">~430,000–500,000 intentional homicides per year globally (UNODC)</w:t>
      </w:r>
    </w:p>
    <w:p>
      <w:pPr>
        <w:pStyle w:val="ListParagraph"/>
        <w:numPr>
          <w:ilvl w:val="0"/>
          <w:numId w:val="2"/>
        </w:numPr>
        <w:spacing w:before="60" w:after="60"/>
      </w:pPr>
      <w:r>
        <w:rPr>
          <w:rFonts w:ascii="Arial" w:cs="Arial" w:eastAsia="Arial" w:hAnsi="Arial"/>
          <w:color w:val="1A1A2E"/>
          <w:sz w:val="22"/>
          <w:szCs w:val="22"/>
        </w:rPr>
        <w:t xml:space="preserve">Global homicide rate: 5.6 per 100,000 (2022)</w:t>
      </w:r>
    </w:p>
    <w:p>
      <w:pPr>
        <w:pStyle w:val="ListParagraph"/>
        <w:numPr>
          <w:ilvl w:val="0"/>
          <w:numId w:val="2"/>
        </w:numPr>
        <w:spacing w:before="60" w:after="60"/>
      </w:pPr>
      <w:r>
        <w:rPr>
          <w:rFonts w:ascii="Arial" w:cs="Arial" w:eastAsia="Arial" w:hAnsi="Arial"/>
          <w:color w:val="1A1A2E"/>
          <w:sz w:val="22"/>
          <w:szCs w:val="22"/>
        </w:rPr>
        <w:t xml:space="preserve">22% of homicides linked to organized criminal groups or gangs</w:t>
      </w:r>
    </w:p>
    <w:p>
      <w:pPr>
        <w:pStyle w:val="ListParagraph"/>
        <w:numPr>
          <w:ilvl w:val="0"/>
          <w:numId w:val="2"/>
        </w:numPr>
        <w:spacing w:before="60" w:after="60"/>
      </w:pPr>
      <w:r>
        <w:rPr>
          <w:rFonts w:ascii="Arial" w:cs="Arial" w:eastAsia="Arial" w:hAnsi="Arial"/>
          <w:color w:val="1A1A2E"/>
          <w:sz w:val="22"/>
          <w:szCs w:val="22"/>
        </w:rPr>
        <w:t xml:space="preserve">16% linked to robbery and other criminal activities</w:t>
      </w:r>
    </w:p>
    <w:p>
      <w:pPr>
        <w:pStyle w:val="ListParagraph"/>
        <w:numPr>
          <w:ilvl w:val="0"/>
          <w:numId w:val="2"/>
        </w:numPr>
        <w:spacing w:before="60" w:after="60"/>
      </w:pPr>
      <w:r>
        <w:rPr>
          <w:rFonts w:ascii="Arial" w:cs="Arial" w:eastAsia="Arial" w:hAnsi="Arial"/>
          <w:color w:val="1A1A2E"/>
          <w:sz w:val="22"/>
          <w:szCs w:val="22"/>
        </w:rPr>
        <w:t xml:space="preserve">Latin America and Caribbean: highest regional homicide rates globally</w:t>
      </w:r>
    </w:p>
    <w:p>
      <w:pPr>
        <w:pStyle w:val="ListParagraph"/>
        <w:numPr>
          <w:ilvl w:val="0"/>
          <w:numId w:val="2"/>
        </w:numPr>
        <w:spacing w:before="60" w:after="60"/>
      </w:pPr>
      <w:r>
        <w:rPr>
          <w:rFonts w:ascii="Arial" w:cs="Arial" w:eastAsia="Arial" w:hAnsi="Arial"/>
          <w:color w:val="1A1A2E"/>
          <w:sz w:val="22"/>
          <w:szCs w:val="22"/>
        </w:rPr>
        <w:t xml:space="preserve">Progress is too slow — at current rates, global homicide rate will only decrease 13% by 2030, vs. the 50% target</w:t>
      </w:r>
    </w:p>
    <w:p>
      <w:pPr>
        <w:pStyle w:val="ListParagraph"/>
        <w:numPr>
          <w:ilvl w:val="0"/>
          <w:numId w:val="2"/>
        </w:numPr>
        <w:spacing w:before="60" w:after="60"/>
      </w:pPr>
      <w:r>
        <w:rPr>
          <w:rFonts w:ascii="Arial" w:cs="Arial" w:eastAsia="Arial" w:hAnsi="Arial"/>
          <w:color w:val="1A1A2E"/>
          <w:sz w:val="22"/>
          <w:szCs w:val="22"/>
        </w:rPr>
        <w:t xml:space="preserve">Female homicide rate: 2.2 per 100,000 — decreased only 2.6% between 2015 and 2022</w:t>
      </w:r>
    </w:p>
    <w:p>
      <w:pPr>
        <w:spacing w:before="60" w:after="60"/>
      </w:pPr>
      <w:r>
        <w:t xml:space="preserve"/>
      </w:r>
    </w:p>
    <w:p>
      <w:pPr>
        <w:pStyle w:val="Heading2"/>
        <w:spacing w:before="280" w:after="120"/>
      </w:pPr>
      <w:r>
        <w:rPr>
          <w:rFonts w:ascii="Arial" w:cs="Arial" w:eastAsia="Arial" w:hAnsi="Arial"/>
          <w:b/>
          <w:bCs/>
          <w:color w:val="1A1A2E"/>
          <w:sz w:val="26"/>
          <w:szCs w:val="26"/>
        </w:rPr>
        <w:t xml:space="preserve">Homicide Rates by Country — Highest (per 100,000 population, 2023–2024)</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1600"/>
        <w:gridCol w:w="5560"/>
      </w:tblGrid>
      <w:tr>
        <w:trPr>
          <w:tblHeader/>
        </w:trPr>
        <w:tc>
          <w:tcPr>
            <w:tcW w:type="dxa" w:w="2200"/>
            <w:tcBorders>
              <w:top w:val="single" w:color="CCCCCC" w:sz="1"/>
              <w:left w:val="single" w:color="CCCCCC" w:sz="1"/>
              <w:bottom w:val="single" w:color="CCCCCC" w:sz="1"/>
              <w:right w:val="single" w:color="CCCCCC" w:sz="1"/>
            </w:tcBorders>
            <w:shd w:fill="1A1A2E" w:val="clear"/>
            <w:tcMar>
              <w:top w:type="dxa" w:w="80"/>
              <w:left w:type="dxa" w:w="120"/>
              <w:bottom w:type="dxa" w:w="80"/>
              <w:right w:type="dxa" w:w="120"/>
            </w:tcMar>
          </w:tcPr>
          <w:p>
            <w:pPr>
              <w:jc w:val="left"/>
            </w:pPr>
            <w:r>
              <w:rPr>
                <w:rFonts w:ascii="Arial" w:cs="Arial" w:eastAsia="Arial" w:hAnsi="Arial"/>
                <w:b/>
                <w:bCs/>
                <w:color w:val="FFFFFF"/>
                <w:sz w:val="19"/>
                <w:szCs w:val="19"/>
              </w:rPr>
              <w:t xml:space="preserve">Country</w:t>
            </w:r>
          </w:p>
        </w:tc>
        <w:tc>
          <w:tcPr>
            <w:tcW w:type="dxa" w:w="1600"/>
            <w:tcBorders>
              <w:top w:val="single" w:color="CCCCCC" w:sz="1"/>
              <w:left w:val="single" w:color="CCCCCC" w:sz="1"/>
              <w:bottom w:val="single" w:color="CCCCCC" w:sz="1"/>
              <w:right w:val="single" w:color="CCCCCC" w:sz="1"/>
            </w:tcBorders>
            <w:shd w:fill="1A1A2E" w:val="clear"/>
            <w:tcMar>
              <w:top w:type="dxa" w:w="80"/>
              <w:left w:type="dxa" w:w="120"/>
              <w:bottom w:type="dxa" w:w="80"/>
              <w:right w:type="dxa" w:w="120"/>
            </w:tcMar>
          </w:tcPr>
          <w:p>
            <w:pPr>
              <w:jc w:val="center"/>
            </w:pPr>
            <w:r>
              <w:rPr>
                <w:rFonts w:ascii="Arial" w:cs="Arial" w:eastAsia="Arial" w:hAnsi="Arial"/>
                <w:b/>
                <w:bCs/>
                <w:color w:val="FFFFFF"/>
                <w:sz w:val="19"/>
                <w:szCs w:val="19"/>
              </w:rPr>
              <w:t xml:space="preserve">Rate/100k</w:t>
            </w:r>
          </w:p>
        </w:tc>
        <w:tc>
          <w:tcPr>
            <w:tcW w:type="dxa" w:w="5560"/>
            <w:tcBorders>
              <w:top w:val="single" w:color="CCCCCC" w:sz="1"/>
              <w:left w:val="single" w:color="CCCCCC" w:sz="1"/>
              <w:bottom w:val="single" w:color="CCCCCC" w:sz="1"/>
              <w:right w:val="single" w:color="CCCCCC" w:sz="1"/>
            </w:tcBorders>
            <w:shd w:fill="1A1A2E" w:val="clear"/>
            <w:tcMar>
              <w:top w:type="dxa" w:w="80"/>
              <w:left w:type="dxa" w:w="120"/>
              <w:bottom w:type="dxa" w:w="80"/>
              <w:right w:type="dxa" w:w="120"/>
            </w:tcMar>
          </w:tcPr>
          <w:p>
            <w:pPr>
              <w:jc w:val="left"/>
            </w:pPr>
            <w:r>
              <w:rPr>
                <w:rFonts w:ascii="Arial" w:cs="Arial" w:eastAsia="Arial" w:hAnsi="Arial"/>
                <w:b/>
                <w:bCs/>
                <w:color w:val="FFFFFF"/>
                <w:sz w:val="19"/>
                <w:szCs w:val="19"/>
              </w:rPr>
              <w:t xml:space="preserve">Key Context &amp; Source</w:t>
            </w:r>
          </w:p>
        </w:tc>
      </w:tr>
      <w:tr>
        <w:tc>
          <w:tcPr>
            <w:tcW w:type="dxa" w:w="2200"/>
            <w:tcBorders>
              <w:top w:val="single" w:color="CCCCCC" w:sz="1"/>
              <w:left w:val="single" w:color="CCCCCC" w:sz="1"/>
              <w:bottom w:val="single" w:color="CCCCCC" w:sz="1"/>
              <w:right w:val="single" w:color="CCCCCC" w:sz="1"/>
            </w:tcBorders>
            <w:shd w:fill="F0F4F4" w:val="clear"/>
            <w:tcMar>
              <w:top w:type="dxa" w:w="80"/>
              <w:left w:type="dxa" w:w="120"/>
              <w:bottom w:type="dxa" w:w="80"/>
              <w:right w:type="dxa" w:w="120"/>
            </w:tcMar>
            <w:vAlign w:val="center"/>
          </w:tcPr>
          <w:p>
            <w:pPr>
              <w:jc w:val="left"/>
            </w:pPr>
            <w:r>
              <w:rPr>
                <w:rFonts w:ascii="Arial" w:cs="Arial" w:eastAsia="Arial" w:hAnsi="Arial"/>
                <w:b w:val="false"/>
                <w:bCs w:val="false"/>
                <w:color w:val="1A1A2E"/>
                <w:sz w:val="19"/>
                <w:szCs w:val="19"/>
              </w:rPr>
              <w:t xml:space="preserve">Jamaica</w:t>
            </w:r>
          </w:p>
        </w:tc>
        <w:tc>
          <w:tcPr>
            <w:tcW w:type="dxa" w:w="1600"/>
            <w:tcBorders>
              <w:top w:val="single" w:color="CCCCCC" w:sz="1"/>
              <w:left w:val="single" w:color="CCCCCC" w:sz="1"/>
              <w:bottom w:val="single" w:color="CCCCCC" w:sz="1"/>
              <w:right w:val="single" w:color="CCCCCC" w:sz="1"/>
            </w:tcBorders>
            <w:shd w:fill="FFF0F0" w:val="clear"/>
            <w:tcMar>
              <w:top w:type="dxa" w:w="80"/>
              <w:left w:type="dxa" w:w="120"/>
              <w:bottom w:type="dxa" w:w="80"/>
              <w:right w:type="dxa" w:w="120"/>
            </w:tcMar>
            <w:vAlign w:val="center"/>
          </w:tcPr>
          <w:p>
            <w:pPr>
              <w:jc w:val="center"/>
            </w:pPr>
            <w:r>
              <w:rPr>
                <w:rFonts w:ascii="Arial" w:cs="Arial" w:eastAsia="Arial" w:hAnsi="Arial"/>
                <w:b/>
                <w:bCs/>
                <w:color w:val="B71C1C"/>
                <w:sz w:val="19"/>
                <w:szCs w:val="19"/>
              </w:rPr>
              <w:t xml:space="preserve">40.1</w:t>
            </w:r>
          </w:p>
        </w:tc>
        <w:tc>
          <w:tcPr>
            <w:tcW w:type="dxa" w:w="5560"/>
            <w:tcBorders>
              <w:top w:val="single" w:color="CCCCCC" w:sz="1"/>
              <w:left w:val="single" w:color="CCCCCC" w:sz="1"/>
              <w:bottom w:val="single" w:color="CCCCCC" w:sz="1"/>
              <w:right w:val="single" w:color="CCCCCC" w:sz="1"/>
            </w:tcBorders>
            <w:shd w:fill="F0F4F4" w:val="clear"/>
            <w:tcMar>
              <w:top w:type="dxa" w:w="80"/>
              <w:left w:type="dxa" w:w="120"/>
              <w:bottom w:type="dxa" w:w="80"/>
              <w:right w:type="dxa" w:w="120"/>
            </w:tcMar>
            <w:vAlign w:val="center"/>
          </w:tcPr>
          <w:p>
            <w:pPr>
              <w:jc w:val="left"/>
            </w:pPr>
            <w:r>
              <w:rPr>
                <w:rFonts w:ascii="Arial" w:cs="Arial" w:eastAsia="Arial" w:hAnsi="Arial"/>
                <w:b w:val="false"/>
                <w:bCs w:val="false"/>
                <w:color w:val="1A1A2E"/>
                <w:sz w:val="19"/>
                <w:szCs w:val="19"/>
              </w:rPr>
              <w:t xml:space="preserve">2024: lowest in a decade, yet still among world's deadliest. 60% gang-related. (InSight Crime, 2025)</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1A1A2E"/>
                <w:sz w:val="19"/>
                <w:szCs w:val="19"/>
              </w:rPr>
              <w:t xml:space="preserve">Haiti</w:t>
            </w:r>
          </w:p>
        </w:tc>
        <w:tc>
          <w:tcPr>
            <w:tcW w:type="dxa" w:w="1600"/>
            <w:tcBorders>
              <w:top w:val="single" w:color="CCCCCC" w:sz="1"/>
              <w:left w:val="single" w:color="CCCCCC" w:sz="1"/>
              <w:bottom w:val="single" w:color="CCCCCC" w:sz="1"/>
              <w:right w:val="single" w:color="CCCCCC" w:sz="1"/>
            </w:tcBorders>
            <w:shd w:fill="FFF0F0" w:val="clear"/>
            <w:tcMar>
              <w:top w:type="dxa" w:w="80"/>
              <w:left w:type="dxa" w:w="120"/>
              <w:bottom w:type="dxa" w:w="80"/>
              <w:right w:type="dxa" w:w="120"/>
            </w:tcMar>
            <w:vAlign w:val="center"/>
          </w:tcPr>
          <w:p>
            <w:pPr>
              <w:jc w:val="center"/>
            </w:pPr>
            <w:r>
              <w:rPr>
                <w:rFonts w:ascii="Arial" w:cs="Arial" w:eastAsia="Arial" w:hAnsi="Arial"/>
                <w:b/>
                <w:bCs/>
                <w:color w:val="B71C1C"/>
                <w:sz w:val="19"/>
                <w:szCs w:val="19"/>
              </w:rPr>
              <w:t xml:space="preserve">~35–40</w:t>
            </w:r>
          </w:p>
        </w:tc>
        <w:tc>
          <w:tcPr>
            <w:tcW w:type="dxa" w:w="5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1A1A2E"/>
                <w:sz w:val="19"/>
                <w:szCs w:val="19"/>
              </w:rPr>
              <w:t xml:space="preserve">State collapse; gang control of Port-au-Prince; 35% rate surge in 2022</w:t>
            </w:r>
          </w:p>
        </w:tc>
      </w:tr>
      <w:tr>
        <w:tc>
          <w:tcPr>
            <w:tcW w:type="dxa" w:w="2200"/>
            <w:tcBorders>
              <w:top w:val="single" w:color="CCCCCC" w:sz="1"/>
              <w:left w:val="single" w:color="CCCCCC" w:sz="1"/>
              <w:bottom w:val="single" w:color="CCCCCC" w:sz="1"/>
              <w:right w:val="single" w:color="CCCCCC" w:sz="1"/>
            </w:tcBorders>
            <w:shd w:fill="F0F4F4" w:val="clear"/>
            <w:tcMar>
              <w:top w:type="dxa" w:w="80"/>
              <w:left w:type="dxa" w:w="120"/>
              <w:bottom w:type="dxa" w:w="80"/>
              <w:right w:type="dxa" w:w="120"/>
            </w:tcMar>
            <w:vAlign w:val="center"/>
          </w:tcPr>
          <w:p>
            <w:pPr>
              <w:jc w:val="left"/>
            </w:pPr>
            <w:r>
              <w:rPr>
                <w:rFonts w:ascii="Arial" w:cs="Arial" w:eastAsia="Arial" w:hAnsi="Arial"/>
                <w:b w:val="false"/>
                <w:bCs w:val="false"/>
                <w:color w:val="1A1A2E"/>
                <w:sz w:val="19"/>
                <w:szCs w:val="19"/>
              </w:rPr>
              <w:t xml:space="preserve">Honduras</w:t>
            </w:r>
          </w:p>
        </w:tc>
        <w:tc>
          <w:tcPr>
            <w:tcW w:type="dxa" w:w="1600"/>
            <w:tcBorders>
              <w:top w:val="single" w:color="CCCCCC" w:sz="1"/>
              <w:left w:val="single" w:color="CCCCCC" w:sz="1"/>
              <w:bottom w:val="single" w:color="CCCCCC" w:sz="1"/>
              <w:right w:val="single" w:color="CCCCCC" w:sz="1"/>
            </w:tcBorders>
            <w:shd w:fill="FFF0F0" w:val="clear"/>
            <w:tcMar>
              <w:top w:type="dxa" w:w="80"/>
              <w:left w:type="dxa" w:w="120"/>
              <w:bottom w:type="dxa" w:w="80"/>
              <w:right w:type="dxa" w:w="120"/>
            </w:tcMar>
            <w:vAlign w:val="center"/>
          </w:tcPr>
          <w:p>
            <w:pPr>
              <w:jc w:val="center"/>
            </w:pPr>
            <w:r>
              <w:rPr>
                <w:rFonts w:ascii="Arial" w:cs="Arial" w:eastAsia="Arial" w:hAnsi="Arial"/>
                <w:b/>
                <w:bCs/>
                <w:color w:val="B71C1C"/>
                <w:sz w:val="19"/>
                <w:szCs w:val="19"/>
              </w:rPr>
              <w:t xml:space="preserve">25.3</w:t>
            </w:r>
          </w:p>
        </w:tc>
        <w:tc>
          <w:tcPr>
            <w:tcW w:type="dxa" w:w="5560"/>
            <w:tcBorders>
              <w:top w:val="single" w:color="CCCCCC" w:sz="1"/>
              <w:left w:val="single" w:color="CCCCCC" w:sz="1"/>
              <w:bottom w:val="single" w:color="CCCCCC" w:sz="1"/>
              <w:right w:val="single" w:color="CCCCCC" w:sz="1"/>
            </w:tcBorders>
            <w:shd w:fill="F0F4F4" w:val="clear"/>
            <w:tcMar>
              <w:top w:type="dxa" w:w="80"/>
              <w:left w:type="dxa" w:w="120"/>
              <w:bottom w:type="dxa" w:w="80"/>
              <w:right w:type="dxa" w:w="120"/>
            </w:tcMar>
            <w:vAlign w:val="center"/>
          </w:tcPr>
          <w:p>
            <w:pPr>
              <w:jc w:val="left"/>
            </w:pPr>
            <w:r>
              <w:rPr>
                <w:rFonts w:ascii="Arial" w:cs="Arial" w:eastAsia="Arial" w:hAnsi="Arial"/>
                <w:b w:val="false"/>
                <w:bCs w:val="false"/>
                <w:color w:val="1A1A2E"/>
                <w:sz w:val="19"/>
                <w:szCs w:val="19"/>
              </w:rPr>
              <w:t xml:space="preserve">2024 rate — down from 38.2 in 2022; state of emergency in 226 of 298 municipalities</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1A1A2E"/>
                <w:sz w:val="19"/>
                <w:szCs w:val="19"/>
              </w:rPr>
              <w:t xml:space="preserve">Venezuela</w:t>
            </w:r>
          </w:p>
        </w:tc>
        <w:tc>
          <w:tcPr>
            <w:tcW w:type="dxa" w:w="1600"/>
            <w:tcBorders>
              <w:top w:val="single" w:color="CCCCCC" w:sz="1"/>
              <w:left w:val="single" w:color="CCCCCC" w:sz="1"/>
              <w:bottom w:val="single" w:color="CCCCCC" w:sz="1"/>
              <w:right w:val="single" w:color="CCCCCC" w:sz="1"/>
            </w:tcBorders>
            <w:shd w:fill="FFF0F0" w:val="clear"/>
            <w:tcMar>
              <w:top w:type="dxa" w:w="80"/>
              <w:left w:type="dxa" w:w="120"/>
              <w:bottom w:type="dxa" w:w="80"/>
              <w:right w:type="dxa" w:w="120"/>
            </w:tcMar>
            <w:vAlign w:val="center"/>
          </w:tcPr>
          <w:p>
            <w:pPr>
              <w:jc w:val="center"/>
            </w:pPr>
            <w:r>
              <w:rPr>
                <w:rFonts w:ascii="Arial" w:cs="Arial" w:eastAsia="Arial" w:hAnsi="Arial"/>
                <w:b/>
                <w:bCs/>
                <w:color w:val="B71C1C"/>
                <w:sz w:val="19"/>
                <w:szCs w:val="19"/>
              </w:rPr>
              <w:t xml:space="preserve">~27–37</w:t>
            </w:r>
          </w:p>
        </w:tc>
        <w:tc>
          <w:tcPr>
            <w:tcW w:type="dxa" w:w="5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1A1A2E"/>
                <w:sz w:val="19"/>
                <w:szCs w:val="19"/>
              </w:rPr>
              <w:t xml:space="preserve">Deep socioeconomic crisis; weak institutions; among highest in South America</w:t>
            </w:r>
          </w:p>
        </w:tc>
      </w:tr>
      <w:tr>
        <w:tc>
          <w:tcPr>
            <w:tcW w:type="dxa" w:w="2200"/>
            <w:tcBorders>
              <w:top w:val="single" w:color="CCCCCC" w:sz="1"/>
              <w:left w:val="single" w:color="CCCCCC" w:sz="1"/>
              <w:bottom w:val="single" w:color="CCCCCC" w:sz="1"/>
              <w:right w:val="single" w:color="CCCCCC" w:sz="1"/>
            </w:tcBorders>
            <w:shd w:fill="F0F4F4" w:val="clear"/>
            <w:tcMar>
              <w:top w:type="dxa" w:w="80"/>
              <w:left w:type="dxa" w:w="120"/>
              <w:bottom w:type="dxa" w:w="80"/>
              <w:right w:type="dxa" w:w="120"/>
            </w:tcMar>
            <w:vAlign w:val="center"/>
          </w:tcPr>
          <w:p>
            <w:pPr>
              <w:jc w:val="left"/>
            </w:pPr>
            <w:r>
              <w:rPr>
                <w:rFonts w:ascii="Arial" w:cs="Arial" w:eastAsia="Arial" w:hAnsi="Arial"/>
                <w:b w:val="false"/>
                <w:bCs w:val="false"/>
                <w:color w:val="1A1A2E"/>
                <w:sz w:val="19"/>
                <w:szCs w:val="19"/>
              </w:rPr>
              <w:t xml:space="preserve">Belize</w:t>
            </w:r>
          </w:p>
        </w:tc>
        <w:tc>
          <w:tcPr>
            <w:tcW w:type="dxa" w:w="1600"/>
            <w:tcBorders>
              <w:top w:val="single" w:color="CCCCCC" w:sz="1"/>
              <w:left w:val="single" w:color="CCCCCC" w:sz="1"/>
              <w:bottom w:val="single" w:color="CCCCCC" w:sz="1"/>
              <w:right w:val="single" w:color="CCCCCC" w:sz="1"/>
            </w:tcBorders>
            <w:shd w:fill="FFF0F0" w:val="clear"/>
            <w:tcMar>
              <w:top w:type="dxa" w:w="80"/>
              <w:left w:type="dxa" w:w="120"/>
              <w:bottom w:type="dxa" w:w="80"/>
              <w:right w:type="dxa" w:w="120"/>
            </w:tcMar>
            <w:vAlign w:val="center"/>
          </w:tcPr>
          <w:p>
            <w:pPr>
              <w:jc w:val="center"/>
            </w:pPr>
            <w:r>
              <w:rPr>
                <w:rFonts w:ascii="Arial" w:cs="Arial" w:eastAsia="Arial" w:hAnsi="Arial"/>
                <w:b/>
                <w:bCs/>
                <w:color w:val="B71C1C"/>
                <w:sz w:val="19"/>
                <w:szCs w:val="19"/>
              </w:rPr>
              <w:t xml:space="preserve">37.8</w:t>
            </w:r>
          </w:p>
        </w:tc>
        <w:tc>
          <w:tcPr>
            <w:tcW w:type="dxa" w:w="5560"/>
            <w:tcBorders>
              <w:top w:val="single" w:color="CCCCCC" w:sz="1"/>
              <w:left w:val="single" w:color="CCCCCC" w:sz="1"/>
              <w:bottom w:val="single" w:color="CCCCCC" w:sz="1"/>
              <w:right w:val="single" w:color="CCCCCC" w:sz="1"/>
            </w:tcBorders>
            <w:shd w:fill="F0F4F4" w:val="clear"/>
            <w:tcMar>
              <w:top w:type="dxa" w:w="80"/>
              <w:left w:type="dxa" w:w="120"/>
              <w:bottom w:type="dxa" w:w="80"/>
              <w:right w:type="dxa" w:w="120"/>
            </w:tcMar>
            <w:vAlign w:val="center"/>
          </w:tcPr>
          <w:p>
            <w:pPr>
              <w:jc w:val="left"/>
            </w:pPr>
            <w:r>
              <w:rPr>
                <w:rFonts w:ascii="Arial" w:cs="Arial" w:eastAsia="Arial" w:hAnsi="Arial"/>
                <w:b w:val="false"/>
                <w:bCs w:val="false"/>
                <w:color w:val="1A1A2E"/>
                <w:sz w:val="19"/>
                <w:szCs w:val="19"/>
              </w:rPr>
              <w:t xml:space="preserve">2023 — urban gang rivalries and drug smuggling routes</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1A1A2E"/>
                <w:sz w:val="19"/>
                <w:szCs w:val="19"/>
              </w:rPr>
              <w:t xml:space="preserve">Nigeria</w:t>
            </w:r>
          </w:p>
        </w:tc>
        <w:tc>
          <w:tcPr>
            <w:tcW w:type="dxa" w:w="1600"/>
            <w:tcBorders>
              <w:top w:val="single" w:color="CCCCCC" w:sz="1"/>
              <w:left w:val="single" w:color="CCCCCC" w:sz="1"/>
              <w:bottom w:val="single" w:color="CCCCCC" w:sz="1"/>
              <w:right w:val="single" w:color="CCCCCC" w:sz="1"/>
            </w:tcBorders>
            <w:shd w:fill="FFF0F0" w:val="clear"/>
            <w:tcMar>
              <w:top w:type="dxa" w:w="80"/>
              <w:left w:type="dxa" w:w="120"/>
              <w:bottom w:type="dxa" w:w="80"/>
              <w:right w:type="dxa" w:w="120"/>
            </w:tcMar>
            <w:vAlign w:val="center"/>
          </w:tcPr>
          <w:p>
            <w:pPr>
              <w:jc w:val="center"/>
            </w:pPr>
            <w:r>
              <w:rPr>
                <w:rFonts w:ascii="Arial" w:cs="Arial" w:eastAsia="Arial" w:hAnsi="Arial"/>
                <w:b/>
                <w:bCs/>
                <w:color w:val="B71C1C"/>
                <w:sz w:val="19"/>
                <w:szCs w:val="19"/>
              </w:rPr>
              <w:t xml:space="preserve">~34.5</w:t>
            </w:r>
          </w:p>
        </w:tc>
        <w:tc>
          <w:tcPr>
            <w:tcW w:type="dxa" w:w="5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1A1A2E"/>
                <w:sz w:val="19"/>
                <w:szCs w:val="19"/>
              </w:rPr>
              <w:t xml:space="preserve">Ethnic-religious conflict, banditry, insurgency across multiple states</w:t>
            </w:r>
          </w:p>
        </w:tc>
      </w:tr>
      <w:tr>
        <w:tc>
          <w:tcPr>
            <w:tcW w:type="dxa" w:w="2200"/>
            <w:tcBorders>
              <w:top w:val="single" w:color="CCCCCC" w:sz="1"/>
              <w:left w:val="single" w:color="CCCCCC" w:sz="1"/>
              <w:bottom w:val="single" w:color="CCCCCC" w:sz="1"/>
              <w:right w:val="single" w:color="CCCCCC" w:sz="1"/>
            </w:tcBorders>
            <w:shd w:fill="F0F4F4" w:val="clear"/>
            <w:tcMar>
              <w:top w:type="dxa" w:w="80"/>
              <w:left w:type="dxa" w:w="120"/>
              <w:bottom w:type="dxa" w:w="80"/>
              <w:right w:type="dxa" w:w="120"/>
            </w:tcMar>
            <w:vAlign w:val="center"/>
          </w:tcPr>
          <w:p>
            <w:pPr>
              <w:jc w:val="left"/>
            </w:pPr>
            <w:r>
              <w:rPr>
                <w:rFonts w:ascii="Arial" w:cs="Arial" w:eastAsia="Arial" w:hAnsi="Arial"/>
                <w:b w:val="false"/>
                <w:bCs w:val="false"/>
                <w:color w:val="1A1A2E"/>
                <w:sz w:val="19"/>
                <w:szCs w:val="19"/>
              </w:rPr>
              <w:t xml:space="preserve">Ecuador</w:t>
            </w:r>
          </w:p>
        </w:tc>
        <w:tc>
          <w:tcPr>
            <w:tcW w:type="dxa" w:w="1600"/>
            <w:tcBorders>
              <w:top w:val="single" w:color="CCCCCC" w:sz="1"/>
              <w:left w:val="single" w:color="CCCCCC" w:sz="1"/>
              <w:bottom w:val="single" w:color="CCCCCC" w:sz="1"/>
              <w:right w:val="single" w:color="CCCCCC" w:sz="1"/>
            </w:tcBorders>
            <w:shd w:fill="FFF0F0" w:val="clear"/>
            <w:tcMar>
              <w:top w:type="dxa" w:w="80"/>
              <w:left w:type="dxa" w:w="120"/>
              <w:bottom w:type="dxa" w:w="80"/>
              <w:right w:type="dxa" w:w="120"/>
            </w:tcMar>
            <w:vAlign w:val="center"/>
          </w:tcPr>
          <w:p>
            <w:pPr>
              <w:jc w:val="center"/>
            </w:pPr>
            <w:r>
              <w:rPr>
                <w:rFonts w:ascii="Arial" w:cs="Arial" w:eastAsia="Arial" w:hAnsi="Arial"/>
                <w:b/>
                <w:bCs/>
                <w:color w:val="B71C1C"/>
                <w:sz w:val="19"/>
                <w:szCs w:val="19"/>
              </w:rPr>
              <w:t xml:space="preserve">44.5</w:t>
            </w:r>
          </w:p>
        </w:tc>
        <w:tc>
          <w:tcPr>
            <w:tcW w:type="dxa" w:w="5560"/>
            <w:tcBorders>
              <w:top w:val="single" w:color="CCCCCC" w:sz="1"/>
              <w:left w:val="single" w:color="CCCCCC" w:sz="1"/>
              <w:bottom w:val="single" w:color="CCCCCC" w:sz="1"/>
              <w:right w:val="single" w:color="CCCCCC" w:sz="1"/>
            </w:tcBorders>
            <w:shd w:fill="F0F4F4" w:val="clear"/>
            <w:tcMar>
              <w:top w:type="dxa" w:w="80"/>
              <w:left w:type="dxa" w:w="120"/>
              <w:bottom w:type="dxa" w:w="80"/>
              <w:right w:type="dxa" w:w="120"/>
            </w:tcMar>
            <w:vAlign w:val="center"/>
          </w:tcPr>
          <w:p>
            <w:pPr>
              <w:jc w:val="left"/>
            </w:pPr>
            <w:r>
              <w:rPr>
                <w:rFonts w:ascii="Arial" w:cs="Arial" w:eastAsia="Arial" w:hAnsi="Arial"/>
                <w:b w:val="false"/>
                <w:bCs w:val="false"/>
                <w:color w:val="1A1A2E"/>
                <w:sz w:val="19"/>
                <w:szCs w:val="19"/>
              </w:rPr>
              <w:t xml:space="preserve">2023 — dramatic surge driven by organized crime; was 6/100k in 2018</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1A1A2E"/>
                <w:sz w:val="19"/>
                <w:szCs w:val="19"/>
              </w:rPr>
              <w:t xml:space="preserve">South Africa</w:t>
            </w:r>
          </w:p>
        </w:tc>
        <w:tc>
          <w:tcPr>
            <w:tcW w:type="dxa" w:w="1600"/>
            <w:tcBorders>
              <w:top w:val="single" w:color="CCCCCC" w:sz="1"/>
              <w:left w:val="single" w:color="CCCCCC" w:sz="1"/>
              <w:bottom w:val="single" w:color="CCCCCC" w:sz="1"/>
              <w:right w:val="single" w:color="CCCCCC" w:sz="1"/>
            </w:tcBorders>
            <w:shd w:fill="FFF0F0" w:val="clear"/>
            <w:tcMar>
              <w:top w:type="dxa" w:w="80"/>
              <w:left w:type="dxa" w:w="120"/>
              <w:bottom w:type="dxa" w:w="80"/>
              <w:right w:type="dxa" w:w="120"/>
            </w:tcMar>
            <w:vAlign w:val="center"/>
          </w:tcPr>
          <w:p>
            <w:pPr>
              <w:jc w:val="center"/>
            </w:pPr>
            <w:r>
              <w:rPr>
                <w:rFonts w:ascii="Arial" w:cs="Arial" w:eastAsia="Arial" w:hAnsi="Arial"/>
                <w:b/>
                <w:bCs/>
                <w:color w:val="B71C1C"/>
                <w:sz w:val="19"/>
                <w:szCs w:val="19"/>
              </w:rPr>
              <w:t xml:space="preserve">~41–43</w:t>
            </w:r>
          </w:p>
        </w:tc>
        <w:tc>
          <w:tcPr>
            <w:tcW w:type="dxa" w:w="5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1A1A2E"/>
                <w:sz w:val="19"/>
                <w:szCs w:val="19"/>
              </w:rPr>
              <w:t xml:space="preserve">Persistently high; organized crime + inequality; KwaZulu-Natal hardest hit</w:t>
            </w:r>
          </w:p>
        </w:tc>
      </w:tr>
      <w:tr>
        <w:tc>
          <w:tcPr>
            <w:tcW w:type="dxa" w:w="2200"/>
            <w:tcBorders>
              <w:top w:val="single" w:color="CCCCCC" w:sz="1"/>
              <w:left w:val="single" w:color="CCCCCC" w:sz="1"/>
              <w:bottom w:val="single" w:color="CCCCCC" w:sz="1"/>
              <w:right w:val="single" w:color="CCCCCC" w:sz="1"/>
            </w:tcBorders>
            <w:shd w:fill="F0F4F4" w:val="clear"/>
            <w:tcMar>
              <w:top w:type="dxa" w:w="80"/>
              <w:left w:type="dxa" w:w="120"/>
              <w:bottom w:type="dxa" w:w="80"/>
              <w:right w:type="dxa" w:w="120"/>
            </w:tcMar>
            <w:vAlign w:val="center"/>
          </w:tcPr>
          <w:p>
            <w:pPr>
              <w:jc w:val="left"/>
            </w:pPr>
            <w:r>
              <w:rPr>
                <w:rFonts w:ascii="Arial" w:cs="Arial" w:eastAsia="Arial" w:hAnsi="Arial"/>
                <w:b w:val="false"/>
                <w:bCs w:val="false"/>
                <w:color w:val="1A1A2E"/>
                <w:sz w:val="19"/>
                <w:szCs w:val="19"/>
              </w:rPr>
              <w:t xml:space="preserve">Brazil</w:t>
            </w:r>
          </w:p>
        </w:tc>
        <w:tc>
          <w:tcPr>
            <w:tcW w:type="dxa" w:w="1600"/>
            <w:tcBorders>
              <w:top w:val="single" w:color="CCCCCC" w:sz="1"/>
              <w:left w:val="single" w:color="CCCCCC" w:sz="1"/>
              <w:bottom w:val="single" w:color="CCCCCC" w:sz="1"/>
              <w:right w:val="single" w:color="CCCCCC" w:sz="1"/>
            </w:tcBorders>
            <w:shd w:fill="FFF0F0" w:val="clear"/>
            <w:tcMar>
              <w:top w:type="dxa" w:w="80"/>
              <w:left w:type="dxa" w:w="120"/>
              <w:bottom w:type="dxa" w:w="80"/>
              <w:right w:type="dxa" w:w="120"/>
            </w:tcMar>
            <w:vAlign w:val="center"/>
          </w:tcPr>
          <w:p>
            <w:pPr>
              <w:jc w:val="center"/>
            </w:pPr>
            <w:r>
              <w:rPr>
                <w:rFonts w:ascii="Arial" w:cs="Arial" w:eastAsia="Arial" w:hAnsi="Arial"/>
                <w:b/>
                <w:bCs/>
                <w:color w:val="B71C1C"/>
                <w:sz w:val="19"/>
                <w:szCs w:val="19"/>
              </w:rPr>
              <w:t xml:space="preserve">~21–23</w:t>
            </w:r>
          </w:p>
        </w:tc>
        <w:tc>
          <w:tcPr>
            <w:tcW w:type="dxa" w:w="5560"/>
            <w:tcBorders>
              <w:top w:val="single" w:color="CCCCCC" w:sz="1"/>
              <w:left w:val="single" w:color="CCCCCC" w:sz="1"/>
              <w:bottom w:val="single" w:color="CCCCCC" w:sz="1"/>
              <w:right w:val="single" w:color="CCCCCC" w:sz="1"/>
            </w:tcBorders>
            <w:shd w:fill="F0F4F4" w:val="clear"/>
            <w:tcMar>
              <w:top w:type="dxa" w:w="80"/>
              <w:left w:type="dxa" w:w="120"/>
              <w:bottom w:type="dxa" w:w="80"/>
              <w:right w:type="dxa" w:w="120"/>
            </w:tcMar>
            <w:vAlign w:val="center"/>
          </w:tcPr>
          <w:p>
            <w:pPr>
              <w:jc w:val="left"/>
            </w:pPr>
            <w:r>
              <w:rPr>
                <w:rFonts w:ascii="Arial" w:cs="Arial" w:eastAsia="Arial" w:hAnsi="Arial"/>
                <w:b w:val="false"/>
                <w:bCs w:val="false"/>
                <w:color w:val="1A1A2E"/>
                <w:sz w:val="19"/>
                <w:szCs w:val="19"/>
              </w:rPr>
              <w:t xml:space="preserve">~47,000 homicides/year; organized crime concentrated in 6 states</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1A1A2E"/>
                <w:sz w:val="19"/>
                <w:szCs w:val="19"/>
              </w:rPr>
              <w:t xml:space="preserve">Mexico</w:t>
            </w:r>
          </w:p>
        </w:tc>
        <w:tc>
          <w:tcPr>
            <w:tcW w:type="dxa" w:w="1600"/>
            <w:tcBorders>
              <w:top w:val="single" w:color="CCCCCC" w:sz="1"/>
              <w:left w:val="single" w:color="CCCCCC" w:sz="1"/>
              <w:bottom w:val="single" w:color="CCCCCC" w:sz="1"/>
              <w:right w:val="single" w:color="CCCCCC" w:sz="1"/>
            </w:tcBorders>
            <w:shd w:fill="FFF0F0" w:val="clear"/>
            <w:tcMar>
              <w:top w:type="dxa" w:w="80"/>
              <w:left w:type="dxa" w:w="120"/>
              <w:bottom w:type="dxa" w:w="80"/>
              <w:right w:type="dxa" w:w="120"/>
            </w:tcMar>
            <w:vAlign w:val="center"/>
          </w:tcPr>
          <w:p>
            <w:pPr>
              <w:jc w:val="center"/>
            </w:pPr>
            <w:r>
              <w:rPr>
                <w:rFonts w:ascii="Arial" w:cs="Arial" w:eastAsia="Arial" w:hAnsi="Arial"/>
                <w:b/>
                <w:bCs/>
                <w:color w:val="B71C1C"/>
                <w:sz w:val="19"/>
                <w:szCs w:val="19"/>
              </w:rPr>
              <w:t xml:space="preserve">~25–28</w:t>
            </w:r>
          </w:p>
        </w:tc>
        <w:tc>
          <w:tcPr>
            <w:tcW w:type="dxa" w:w="5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1A1A2E"/>
                <w:sz w:val="19"/>
                <w:szCs w:val="19"/>
              </w:rPr>
              <w:t xml:space="preserve">~30,000+ homicides/year; 50%+ concentrated in 6 states; cartel control</w:t>
            </w:r>
          </w:p>
        </w:tc>
      </w:tr>
      <w:tr>
        <w:tc>
          <w:tcPr>
            <w:tcW w:type="dxa" w:w="2200"/>
            <w:tcBorders>
              <w:top w:val="single" w:color="CCCCCC" w:sz="1"/>
              <w:left w:val="single" w:color="CCCCCC" w:sz="1"/>
              <w:bottom w:val="single" w:color="CCCCCC" w:sz="1"/>
              <w:right w:val="single" w:color="CCCCCC" w:sz="1"/>
            </w:tcBorders>
            <w:shd w:fill="F0F4F4" w:val="clear"/>
            <w:tcMar>
              <w:top w:type="dxa" w:w="80"/>
              <w:left w:type="dxa" w:w="120"/>
              <w:bottom w:type="dxa" w:w="80"/>
              <w:right w:type="dxa" w:w="120"/>
            </w:tcMar>
            <w:vAlign w:val="center"/>
          </w:tcPr>
          <w:p>
            <w:pPr>
              <w:jc w:val="left"/>
            </w:pPr>
            <w:r>
              <w:rPr>
                <w:rFonts w:ascii="Arial" w:cs="Arial" w:eastAsia="Arial" w:hAnsi="Arial"/>
                <w:b w:val="false"/>
                <w:bCs w:val="false"/>
                <w:color w:val="1A1A2E"/>
                <w:sz w:val="19"/>
                <w:szCs w:val="19"/>
              </w:rPr>
              <w:t xml:space="preserve">Colombia</w:t>
            </w:r>
          </w:p>
        </w:tc>
        <w:tc>
          <w:tcPr>
            <w:tcW w:type="dxa" w:w="1600"/>
            <w:tcBorders>
              <w:top w:val="single" w:color="CCCCCC" w:sz="1"/>
              <w:left w:val="single" w:color="CCCCCC" w:sz="1"/>
              <w:bottom w:val="single" w:color="CCCCCC" w:sz="1"/>
              <w:right w:val="single" w:color="CCCCCC" w:sz="1"/>
            </w:tcBorders>
            <w:shd w:fill="FFF0F0" w:val="clear"/>
            <w:tcMar>
              <w:top w:type="dxa" w:w="80"/>
              <w:left w:type="dxa" w:w="120"/>
              <w:bottom w:type="dxa" w:w="80"/>
              <w:right w:type="dxa" w:w="120"/>
            </w:tcMar>
            <w:vAlign w:val="center"/>
          </w:tcPr>
          <w:p>
            <w:pPr>
              <w:jc w:val="center"/>
            </w:pPr>
            <w:r>
              <w:rPr>
                <w:rFonts w:ascii="Arial" w:cs="Arial" w:eastAsia="Arial" w:hAnsi="Arial"/>
                <w:b/>
                <w:bCs/>
                <w:color w:val="B71C1C"/>
                <w:sz w:val="19"/>
                <w:szCs w:val="19"/>
              </w:rPr>
              <w:t xml:space="preserve">~25</w:t>
            </w:r>
          </w:p>
        </w:tc>
        <w:tc>
          <w:tcPr>
            <w:tcW w:type="dxa" w:w="5560"/>
            <w:tcBorders>
              <w:top w:val="single" w:color="CCCCCC" w:sz="1"/>
              <w:left w:val="single" w:color="CCCCCC" w:sz="1"/>
              <w:bottom w:val="single" w:color="CCCCCC" w:sz="1"/>
              <w:right w:val="single" w:color="CCCCCC" w:sz="1"/>
            </w:tcBorders>
            <w:shd w:fill="F0F4F4" w:val="clear"/>
            <w:tcMar>
              <w:top w:type="dxa" w:w="80"/>
              <w:left w:type="dxa" w:w="120"/>
              <w:bottom w:type="dxa" w:w="80"/>
              <w:right w:type="dxa" w:w="120"/>
            </w:tcMar>
            <w:vAlign w:val="center"/>
          </w:tcPr>
          <w:p>
            <w:pPr>
              <w:jc w:val="left"/>
            </w:pPr>
            <w:r>
              <w:rPr>
                <w:rFonts w:ascii="Arial" w:cs="Arial" w:eastAsia="Arial" w:hAnsi="Arial"/>
                <w:b w:val="false"/>
                <w:bCs w:val="false"/>
                <w:color w:val="1A1A2E"/>
                <w:sz w:val="19"/>
                <w:szCs w:val="19"/>
              </w:rPr>
              <w:t xml:space="preserve">Significant reduction from peak but drug trafficking routes remain active</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1A1A2E"/>
                <w:sz w:val="19"/>
                <w:szCs w:val="19"/>
              </w:rPr>
              <w:t xml:space="preserve">United States</w:t>
            </w:r>
          </w:p>
        </w:tc>
        <w:tc>
          <w:tcPr>
            <w:tcW w:type="dxa" w:w="1600"/>
            <w:tcBorders>
              <w:top w:val="single" w:color="CCCCCC" w:sz="1"/>
              <w:left w:val="single" w:color="CCCCCC" w:sz="1"/>
              <w:bottom w:val="single" w:color="CCCCCC" w:sz="1"/>
              <w:right w:val="single" w:color="CCCCCC" w:sz="1"/>
            </w:tcBorders>
            <w:shd w:fill="FFF0F0" w:val="clear"/>
            <w:tcMar>
              <w:top w:type="dxa" w:w="80"/>
              <w:left w:type="dxa" w:w="120"/>
              <w:bottom w:type="dxa" w:w="80"/>
              <w:right w:type="dxa" w:w="120"/>
            </w:tcMar>
            <w:vAlign w:val="center"/>
          </w:tcPr>
          <w:p>
            <w:pPr>
              <w:jc w:val="center"/>
            </w:pPr>
            <w:r>
              <w:rPr>
                <w:rFonts w:ascii="Arial" w:cs="Arial" w:eastAsia="Arial" w:hAnsi="Arial"/>
                <w:b/>
                <w:bCs/>
                <w:color w:val="B71C1C"/>
                <w:sz w:val="19"/>
                <w:szCs w:val="19"/>
              </w:rPr>
              <w:t xml:space="preserve">~6.3</w:t>
            </w:r>
          </w:p>
        </w:tc>
        <w:tc>
          <w:tcPr>
            <w:tcW w:type="dxa" w:w="5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1A1A2E"/>
                <w:sz w:val="19"/>
                <w:szCs w:val="19"/>
              </w:rPr>
              <w:t xml:space="preserve">2022 — elevated vs European peers; gun homicide rate highest in OECD</w:t>
            </w:r>
          </w:p>
        </w:tc>
      </w:tr>
    </w:tbl>
    <w:p>
      <w:pPr>
        <w:spacing w:before="60" w:after="60"/>
      </w:pPr>
      <w:r>
        <w:t xml:space="preserve"/>
      </w:r>
    </w:p>
    <w:p>
      <w:pPr>
        <w:pStyle w:val="Heading2"/>
        <w:spacing w:before="280" w:after="120"/>
      </w:pPr>
      <w:r>
        <w:rPr>
          <w:rFonts w:ascii="Arial" w:cs="Arial" w:eastAsia="Arial" w:hAnsi="Arial"/>
          <w:b/>
          <w:bCs/>
          <w:color w:val="1A1A2E"/>
          <w:sz w:val="26"/>
          <w:szCs w:val="26"/>
        </w:rPr>
        <w:t xml:space="preserve">The Holoviceose Connection</w:t>
      </w:r>
    </w:p>
    <w:p>
      <w:pPr>
        <w:spacing w:before="80" w:after="120"/>
        <w:jc w:val="both"/>
      </w:pPr>
      <w:r>
        <w:rPr>
          <w:rFonts w:ascii="Arial" w:cs="Arial" w:eastAsia="Arial" w:hAnsi="Arial"/>
          <w:color w:val="1A1A2E"/>
          <w:sz w:val="22"/>
          <w:szCs w:val="22"/>
        </w:rPr>
        <w:t xml:space="preserve">Homicide concentration maps directly onto the geography of weakened state institutions, entrenched inequality, and political capture by criminal interests. This is not individual moral failure — it is the systemic product of deliberate governance choices. Ecuador's rate of 6/100k in 2018 to 44.5/100k in 2023 in five years demonstrates how rapidly Holoviceose accelerates when institutional defenses collapse.</w:t>
      </w:r>
    </w:p>
    <w:p>
      <w:pPr>
        <w:pBdr>
          <w:left w:val="single" w:color="B71C1C" w:sz="6" w:space="12"/>
        </w:pBdr>
        <w:spacing w:before="120" w:after="120"/>
        <w:ind w:left="720" w:right="360"/>
      </w:pPr>
      <w:r>
        <w:rPr>
          <w:rFonts w:ascii="Arial" w:cs="Arial" w:eastAsia="Arial" w:hAnsi="Arial"/>
          <w:i/>
          <w:iCs/>
          <w:color w:val="444444"/>
          <w:sz w:val="20"/>
          <w:szCs w:val="20"/>
        </w:rPr>
        <w:t xml:space="preserve">"Organized crime in Latin America does not merely produce homicide — it produces the social conditions that make homicide normal."</w:t>
      </w:r>
    </w:p>
    <w:p>
      <w:pPr>
        <w:spacing w:before="40" w:after="80"/>
        <w:ind w:left="720"/>
      </w:pPr>
      <w:r>
        <w:rPr>
          <w:rFonts w:ascii="Arial" w:cs="Arial" w:eastAsia="Arial" w:hAnsi="Arial"/>
          <w:i/>
          <w:iCs/>
          <w:color w:val="777777"/>
          <w:sz w:val="18"/>
          <w:szCs w:val="18"/>
        </w:rPr>
        <w:t xml:space="preserve">— Source: UNODC Global Study on Homicide 2023</w:t>
      </w:r>
    </w:p>
    <w:p>
      <w:pPr>
        <w:spacing w:before="60" w:after="60"/>
      </w:pPr>
      <w:r>
        <w:t xml:space="preserve"/>
      </w:r>
    </w:p>
    <w:p>
      <w:pPr>
        <w:pStyle w:val="Heading1"/>
        <w:pBdr>
          <w:bottom w:val="single" w:color="B71C1C" w:sz="4" w:space="6"/>
        </w:pBdr>
        <w:spacing w:before="360" w:after="180"/>
      </w:pPr>
      <w:r>
        <w:rPr>
          <w:rFonts w:ascii="Arial" w:cs="Arial" w:eastAsia="Arial" w:hAnsi="Arial"/>
          <w:b/>
          <w:bCs/>
          <w:color w:val="B71C1C"/>
          <w:sz w:val="32"/>
          <w:szCs w:val="32"/>
        </w:rPr>
        <w:t xml:space="preserve">IV. Preventable Child Deaths — The Most Legible Measure of Holoviceose</w:t>
      </w:r>
    </w:p>
    <w:p>
      <w:pPr>
        <w:spacing w:before="80" w:after="120"/>
        <w:jc w:val="both"/>
      </w:pPr>
      <w:r>
        <w:rPr>
          <w:rFonts w:ascii="Arial" w:cs="Arial" w:eastAsia="Arial" w:hAnsi="Arial"/>
          <w:color w:val="1A1A2E"/>
          <w:sz w:val="22"/>
          <w:szCs w:val="22"/>
        </w:rPr>
        <w:t xml:space="preserve">Child mortality is the clearest and most morally unambiguous measure of Holoviceose. In 2024, 4.9 million children died before their fifth birthday. The decisive word is 'preventable': UNICEF, WHO, and the World Bank jointly affirm that the overwhelming majority of these deaths could be avoided with proven, low-cost interventions. The resources exist. The knowledge exists. The political will does not.</w:t>
      </w:r>
    </w:p>
    <w:p>
      <w:pPr>
        <w:spacing w:before="60" w:after="60"/>
      </w:pPr>
      <w:r>
        <w:t xml:space="preserve"/>
      </w:r>
    </w:p>
    <w:p>
      <w:pPr>
        <w:pBdr>
          <w:left w:val="single" w:color="B71C1C" w:sz="6" w:space="12"/>
        </w:pBdr>
        <w:spacing w:before="120" w:after="120"/>
        <w:ind w:left="720" w:right="360"/>
      </w:pPr>
      <w:r>
        <w:rPr>
          <w:rFonts w:ascii="Arial" w:cs="Arial" w:eastAsia="Arial" w:hAnsi="Arial"/>
          <w:i/>
          <w:iCs/>
          <w:color w:val="444444"/>
          <w:sz w:val="20"/>
          <w:szCs w:val="20"/>
        </w:rPr>
        <w:t xml:space="preserve">"An estimated 4.9 million children died before their fifth birthday in 2024, including 2.3 million newborns. Most of these deaths are preventable with proven, low-cost interventions and access to quality health care."</w:t>
      </w:r>
    </w:p>
    <w:p>
      <w:pPr>
        <w:spacing w:before="40" w:after="80"/>
        <w:ind w:left="720"/>
      </w:pPr>
      <w:r>
        <w:rPr>
          <w:rFonts w:ascii="Arial" w:cs="Arial" w:eastAsia="Arial" w:hAnsi="Arial"/>
          <w:i/>
          <w:iCs/>
          <w:color w:val="777777"/>
          <w:sz w:val="18"/>
          <w:szCs w:val="18"/>
        </w:rPr>
        <w:t xml:space="preserve">— Source: UNICEF / WHO / World Bank — Levels &amp; Trends in Child Mortality, 18 March 2026</w:t>
      </w:r>
    </w:p>
    <w:p>
      <w:pPr>
        <w:spacing w:before="60" w:after="60"/>
      </w:pPr>
      <w:r>
        <w:t xml:space="preserve"/>
      </w:r>
    </w:p>
    <w:p>
      <w:pPr>
        <w:pStyle w:val="Heading2"/>
        <w:spacing w:before="280" w:after="120"/>
      </w:pPr>
      <w:r>
        <w:rPr>
          <w:rFonts w:ascii="Arial" w:cs="Arial" w:eastAsia="Arial" w:hAnsi="Arial"/>
          <w:b/>
          <w:bCs/>
          <w:color w:val="1A1A2E"/>
          <w:sz w:val="26"/>
          <w:szCs w:val="26"/>
        </w:rPr>
        <w:t xml:space="preserve">Key Global Statistics (2024 — Most Recent Data)</w:t>
      </w:r>
    </w:p>
    <w:p>
      <w:pPr>
        <w:pStyle w:val="ListParagraph"/>
        <w:numPr>
          <w:ilvl w:val="0"/>
          <w:numId w:val="2"/>
        </w:numPr>
        <w:spacing w:before="60" w:after="60"/>
      </w:pPr>
      <w:r>
        <w:rPr>
          <w:rFonts w:ascii="Arial" w:cs="Arial" w:eastAsia="Arial" w:hAnsi="Arial"/>
          <w:color w:val="1A1A2E"/>
          <w:sz w:val="22"/>
          <w:szCs w:val="22"/>
        </w:rPr>
        <w:t xml:space="preserve">4.9 million under-5 deaths in 2024 — nearly half were newborns (2.3 million)</w:t>
      </w:r>
    </w:p>
    <w:p>
      <w:pPr>
        <w:pStyle w:val="ListParagraph"/>
        <w:numPr>
          <w:ilvl w:val="0"/>
          <w:numId w:val="2"/>
        </w:numPr>
        <w:spacing w:before="60" w:after="60"/>
      </w:pPr>
      <w:r>
        <w:rPr>
          <w:rFonts w:ascii="Arial" w:cs="Arial" w:eastAsia="Arial" w:hAnsi="Arial"/>
          <w:color w:val="1A1A2E"/>
          <w:sz w:val="22"/>
          <w:szCs w:val="22"/>
        </w:rPr>
        <w:t xml:space="preserve">13,300 under-5 deaths per day — an intolerably high number of largely preventable deaths</w:t>
      </w:r>
    </w:p>
    <w:p>
      <w:pPr>
        <w:pStyle w:val="ListParagraph"/>
        <w:numPr>
          <w:ilvl w:val="0"/>
          <w:numId w:val="2"/>
        </w:numPr>
        <w:spacing w:before="60" w:after="60"/>
      </w:pPr>
      <w:r>
        <w:rPr>
          <w:rFonts w:ascii="Arial" w:cs="Arial" w:eastAsia="Arial" w:hAnsi="Arial"/>
          <w:color w:val="1A1A2E"/>
          <w:sz w:val="22"/>
          <w:szCs w:val="22"/>
        </w:rPr>
        <w:t xml:space="preserve">Progress rate has slowed by over 60% since 2015 (from 3.9%/year to 1.5%/year reduction)</w:t>
      </w:r>
    </w:p>
    <w:p>
      <w:pPr>
        <w:pStyle w:val="ListParagraph"/>
        <w:numPr>
          <w:ilvl w:val="0"/>
          <w:numId w:val="2"/>
        </w:numPr>
        <w:spacing w:before="60" w:after="60"/>
      </w:pPr>
      <w:r>
        <w:rPr>
          <w:rFonts w:ascii="Arial" w:cs="Arial" w:eastAsia="Arial" w:hAnsi="Arial"/>
          <w:color w:val="1A1A2E"/>
          <w:sz w:val="22"/>
          <w:szCs w:val="22"/>
        </w:rPr>
        <w:t xml:space="preserve">2.1 million additional deaths among children and youth aged 5–24 in 2024</w:t>
      </w:r>
    </w:p>
    <w:p>
      <w:pPr>
        <w:pStyle w:val="ListParagraph"/>
        <w:numPr>
          <w:ilvl w:val="0"/>
          <w:numId w:val="2"/>
        </w:numPr>
        <w:spacing w:before="60" w:after="60"/>
      </w:pPr>
      <w:r>
        <w:rPr>
          <w:rFonts w:ascii="Arial" w:cs="Arial" w:eastAsia="Arial" w:hAnsi="Arial"/>
          <w:color w:val="1A1A2E"/>
          <w:sz w:val="22"/>
          <w:szCs w:val="22"/>
        </w:rPr>
        <w:t xml:space="preserve">Sub-Saharan Africa: 58% of ALL under-5 deaths globally</w:t>
      </w:r>
    </w:p>
    <w:p>
      <w:pPr>
        <w:pStyle w:val="ListParagraph"/>
        <w:numPr>
          <w:ilvl w:val="0"/>
          <w:numId w:val="2"/>
        </w:numPr>
        <w:spacing w:before="60" w:after="60"/>
      </w:pPr>
      <w:r>
        <w:rPr>
          <w:rFonts w:ascii="Arial" w:cs="Arial" w:eastAsia="Arial" w:hAnsi="Arial"/>
          <w:color w:val="1A1A2E"/>
          <w:sz w:val="22"/>
          <w:szCs w:val="22"/>
        </w:rPr>
        <w:t xml:space="preserve">Southern Asia: 25% of all under-5 deaths</w:t>
      </w:r>
    </w:p>
    <w:p>
      <w:pPr>
        <w:pStyle w:val="ListParagraph"/>
        <w:numPr>
          <w:ilvl w:val="0"/>
          <w:numId w:val="2"/>
        </w:numPr>
        <w:spacing w:before="60" w:after="60"/>
      </w:pPr>
      <w:r>
        <w:rPr>
          <w:rFonts w:ascii="Arial" w:cs="Arial" w:eastAsia="Arial" w:hAnsi="Arial"/>
          <w:color w:val="1A1A2E"/>
          <w:sz w:val="22"/>
          <w:szCs w:val="22"/>
        </w:rPr>
        <w:t xml:space="preserve">Fragile/conflict-affected countries: children nearly 3× more likely to die before age 5</w:t>
      </w:r>
    </w:p>
    <w:p>
      <w:pPr>
        <w:pStyle w:val="ListParagraph"/>
        <w:numPr>
          <w:ilvl w:val="0"/>
          <w:numId w:val="2"/>
        </w:numPr>
        <w:spacing w:before="60" w:after="60"/>
      </w:pPr>
      <w:r>
        <w:rPr>
          <w:rFonts w:ascii="Arial" w:cs="Arial" w:eastAsia="Arial" w:hAnsi="Arial"/>
          <w:color w:val="1A1A2E"/>
          <w:sz w:val="22"/>
          <w:szCs w:val="22"/>
        </w:rPr>
        <w:t xml:space="preserve">More than 100,000 children died directly from severe acute malnutrition (SAM) in 2024</w:t>
      </w:r>
    </w:p>
    <w:p>
      <w:pPr>
        <w:pStyle w:val="ListParagraph"/>
        <w:numPr>
          <w:ilvl w:val="0"/>
          <w:numId w:val="2"/>
        </w:numPr>
        <w:spacing w:before="60" w:after="60"/>
      </w:pPr>
      <w:r>
        <w:rPr>
          <w:rFonts w:ascii="Arial" w:cs="Arial" w:eastAsia="Arial" w:hAnsi="Arial"/>
          <w:color w:val="1A1A2E"/>
          <w:sz w:val="22"/>
          <w:szCs w:val="22"/>
        </w:rPr>
        <w:t xml:space="preserve">35 million children projected to die before age 5 by 2030 at current rates</w:t>
      </w:r>
    </w:p>
    <w:p>
      <w:pPr>
        <w:spacing w:before="60" w:after="60"/>
      </w:pPr>
      <w:r>
        <w:t xml:space="preserve"/>
      </w:r>
    </w:p>
    <w:p>
      <w:pPr>
        <w:pStyle w:val="Heading2"/>
        <w:spacing w:before="280" w:after="120"/>
      </w:pPr>
      <w:r>
        <w:rPr>
          <w:rFonts w:ascii="Arial" w:cs="Arial" w:eastAsia="Arial" w:hAnsi="Arial"/>
          <w:b/>
          <w:bCs/>
          <w:color w:val="1A1A2E"/>
          <w:sz w:val="26"/>
          <w:szCs w:val="26"/>
        </w:rPr>
        <w:t xml:space="preserve">Leading Causes of Under-5 Deaths (2024)</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1800"/>
        <w:gridCol w:w="4760"/>
      </w:tblGrid>
      <w:tr>
        <w:trPr>
          <w:tblHeader/>
        </w:trPr>
        <w:tc>
          <w:tcPr>
            <w:tcW w:type="dxa" w:w="2800"/>
            <w:tcBorders>
              <w:top w:val="single" w:color="CCCCCC" w:sz="1"/>
              <w:left w:val="single" w:color="CCCCCC" w:sz="1"/>
              <w:bottom w:val="single" w:color="CCCCCC" w:sz="1"/>
              <w:right w:val="single" w:color="CCCCCC" w:sz="1"/>
            </w:tcBorders>
            <w:shd w:fill="1A1A2E" w:val="clear"/>
            <w:tcMar>
              <w:top w:type="dxa" w:w="80"/>
              <w:left w:type="dxa" w:w="120"/>
              <w:bottom w:type="dxa" w:w="80"/>
              <w:right w:type="dxa" w:w="120"/>
            </w:tcMar>
          </w:tcPr>
          <w:p>
            <w:pPr>
              <w:jc w:val="left"/>
            </w:pPr>
            <w:r>
              <w:rPr>
                <w:rFonts w:ascii="Arial" w:cs="Arial" w:eastAsia="Arial" w:hAnsi="Arial"/>
                <w:b/>
                <w:bCs/>
                <w:color w:val="FFFFFF"/>
                <w:sz w:val="19"/>
                <w:szCs w:val="19"/>
              </w:rPr>
              <w:t xml:space="preserve">Cause</w:t>
            </w:r>
          </w:p>
        </w:tc>
        <w:tc>
          <w:tcPr>
            <w:tcW w:type="dxa" w:w="1800"/>
            <w:tcBorders>
              <w:top w:val="single" w:color="CCCCCC" w:sz="1"/>
              <w:left w:val="single" w:color="CCCCCC" w:sz="1"/>
              <w:bottom w:val="single" w:color="CCCCCC" w:sz="1"/>
              <w:right w:val="single" w:color="CCCCCC" w:sz="1"/>
            </w:tcBorders>
            <w:shd w:fill="1A1A2E" w:val="clear"/>
            <w:tcMar>
              <w:top w:type="dxa" w:w="80"/>
              <w:left w:type="dxa" w:w="120"/>
              <w:bottom w:type="dxa" w:w="80"/>
              <w:right w:type="dxa" w:w="120"/>
            </w:tcMar>
          </w:tcPr>
          <w:p>
            <w:pPr>
              <w:jc w:val="center"/>
            </w:pPr>
            <w:r>
              <w:rPr>
                <w:rFonts w:ascii="Arial" w:cs="Arial" w:eastAsia="Arial" w:hAnsi="Arial"/>
                <w:b/>
                <w:bCs/>
                <w:color w:val="FFFFFF"/>
                <w:sz w:val="19"/>
                <w:szCs w:val="19"/>
              </w:rPr>
              <w:t xml:space="preserve">Scale</w:t>
            </w:r>
          </w:p>
        </w:tc>
        <w:tc>
          <w:tcPr>
            <w:tcW w:type="dxa" w:w="4760"/>
            <w:tcBorders>
              <w:top w:val="single" w:color="CCCCCC" w:sz="1"/>
              <w:left w:val="single" w:color="CCCCCC" w:sz="1"/>
              <w:bottom w:val="single" w:color="CCCCCC" w:sz="1"/>
              <w:right w:val="single" w:color="CCCCCC" w:sz="1"/>
            </w:tcBorders>
            <w:shd w:fill="1A1A2E" w:val="clear"/>
            <w:tcMar>
              <w:top w:type="dxa" w:w="80"/>
              <w:left w:type="dxa" w:w="120"/>
              <w:bottom w:type="dxa" w:w="80"/>
              <w:right w:type="dxa" w:w="120"/>
            </w:tcMar>
          </w:tcPr>
          <w:p>
            <w:pPr>
              <w:jc w:val="left"/>
            </w:pPr>
            <w:r>
              <w:rPr>
                <w:rFonts w:ascii="Arial" w:cs="Arial" w:eastAsia="Arial" w:hAnsi="Arial"/>
                <w:b/>
                <w:bCs/>
                <w:color w:val="FFFFFF"/>
                <w:sz w:val="19"/>
                <w:szCs w:val="19"/>
              </w:rPr>
              <w:t xml:space="preserve">Holoviceose Dimension</w:t>
            </w:r>
          </w:p>
        </w:tc>
      </w:tr>
      <w:tr>
        <w:tc>
          <w:tcPr>
            <w:tcW w:type="dxa" w:w="2800"/>
            <w:tcBorders>
              <w:top w:val="single" w:color="CCCCCC" w:sz="1"/>
              <w:left w:val="single" w:color="CCCCCC" w:sz="1"/>
              <w:bottom w:val="single" w:color="CCCCCC" w:sz="1"/>
              <w:right w:val="single" w:color="CCCCCC" w:sz="1"/>
            </w:tcBorders>
            <w:shd w:fill="F0F4F4" w:val="clear"/>
            <w:tcMar>
              <w:top w:type="dxa" w:w="80"/>
              <w:left w:type="dxa" w:w="120"/>
              <w:bottom w:type="dxa" w:w="80"/>
              <w:right w:type="dxa" w:w="120"/>
            </w:tcMar>
            <w:vAlign w:val="center"/>
          </w:tcPr>
          <w:p>
            <w:pPr>
              <w:jc w:val="left"/>
            </w:pPr>
            <w:r>
              <w:rPr>
                <w:rFonts w:ascii="Arial" w:cs="Arial" w:eastAsia="Arial" w:hAnsi="Arial"/>
                <w:b w:val="false"/>
                <w:bCs w:val="false"/>
                <w:color w:val="1A1A2E"/>
                <w:sz w:val="19"/>
                <w:szCs w:val="19"/>
              </w:rPr>
              <w:t xml:space="preserve">Preterm birth complications</w:t>
            </w:r>
          </w:p>
        </w:tc>
        <w:tc>
          <w:tcPr>
            <w:tcW w:type="dxa" w:w="1800"/>
            <w:tcBorders>
              <w:top w:val="single" w:color="CCCCCC" w:sz="1"/>
              <w:left w:val="single" w:color="CCCCCC" w:sz="1"/>
              <w:bottom w:val="single" w:color="CCCCCC" w:sz="1"/>
              <w:right w:val="single" w:color="CCCCCC" w:sz="1"/>
            </w:tcBorders>
            <w:shd w:fill="FFF0F0" w:val="clear"/>
            <w:tcMar>
              <w:top w:type="dxa" w:w="80"/>
              <w:left w:type="dxa" w:w="120"/>
              <w:bottom w:type="dxa" w:w="80"/>
              <w:right w:type="dxa" w:w="120"/>
            </w:tcMar>
            <w:vAlign w:val="center"/>
          </w:tcPr>
          <w:p>
            <w:pPr>
              <w:jc w:val="center"/>
            </w:pPr>
            <w:r>
              <w:rPr>
                <w:rFonts w:ascii="Arial" w:cs="Arial" w:eastAsia="Arial" w:hAnsi="Arial"/>
                <w:b/>
                <w:bCs/>
                <w:color w:val="B71C1C"/>
                <w:sz w:val="19"/>
                <w:szCs w:val="19"/>
              </w:rPr>
              <w:t xml:space="preserve">36% of newborn deaths</w:t>
            </w:r>
          </w:p>
        </w:tc>
        <w:tc>
          <w:tcPr>
            <w:tcW w:type="dxa" w:w="4760"/>
            <w:tcBorders>
              <w:top w:val="single" w:color="CCCCCC" w:sz="1"/>
              <w:left w:val="single" w:color="CCCCCC" w:sz="1"/>
              <w:bottom w:val="single" w:color="CCCCCC" w:sz="1"/>
              <w:right w:val="single" w:color="CCCCCC" w:sz="1"/>
            </w:tcBorders>
            <w:shd w:fill="F0F4F4" w:val="clear"/>
            <w:tcMar>
              <w:top w:type="dxa" w:w="80"/>
              <w:left w:type="dxa" w:w="120"/>
              <w:bottom w:type="dxa" w:w="80"/>
              <w:right w:type="dxa" w:w="120"/>
            </w:tcMar>
            <w:vAlign w:val="center"/>
          </w:tcPr>
          <w:p>
            <w:pPr>
              <w:jc w:val="left"/>
            </w:pPr>
            <w:r>
              <w:rPr>
                <w:rFonts w:ascii="Arial" w:cs="Arial" w:eastAsia="Arial" w:hAnsi="Arial"/>
                <w:b w:val="false"/>
                <w:bCs w:val="false"/>
                <w:color w:val="1A1A2E"/>
                <w:sz w:val="19"/>
                <w:szCs w:val="19"/>
              </w:rPr>
              <w:t xml:space="preserve">Most preventable with skilled antenatal care — widely available in wealthy countries</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1A1A2E"/>
                <w:sz w:val="19"/>
                <w:szCs w:val="19"/>
              </w:rPr>
              <w:t xml:space="preserve">Labour &amp; delivery complications</w:t>
            </w:r>
          </w:p>
        </w:tc>
        <w:tc>
          <w:tcPr>
            <w:tcW w:type="dxa" w:w="1800"/>
            <w:tcBorders>
              <w:top w:val="single" w:color="CCCCCC" w:sz="1"/>
              <w:left w:val="single" w:color="CCCCCC" w:sz="1"/>
              <w:bottom w:val="single" w:color="CCCCCC" w:sz="1"/>
              <w:right w:val="single" w:color="CCCCCC" w:sz="1"/>
            </w:tcBorders>
            <w:shd w:fill="FFF0F0" w:val="clear"/>
            <w:tcMar>
              <w:top w:type="dxa" w:w="80"/>
              <w:left w:type="dxa" w:w="120"/>
              <w:bottom w:type="dxa" w:w="80"/>
              <w:right w:type="dxa" w:w="120"/>
            </w:tcMar>
            <w:vAlign w:val="center"/>
          </w:tcPr>
          <w:p>
            <w:pPr>
              <w:jc w:val="center"/>
            </w:pPr>
            <w:r>
              <w:rPr>
                <w:rFonts w:ascii="Arial" w:cs="Arial" w:eastAsia="Arial" w:hAnsi="Arial"/>
                <w:b/>
                <w:bCs/>
                <w:color w:val="B71C1C"/>
                <w:sz w:val="19"/>
                <w:szCs w:val="19"/>
              </w:rPr>
              <w:t xml:space="preserve">21% of newborn deaths</w:t>
            </w:r>
          </w:p>
        </w:tc>
        <w:tc>
          <w:tcPr>
            <w:tcW w:type="dxa" w:w="4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1A1A2E"/>
                <w:sz w:val="19"/>
                <w:szCs w:val="19"/>
              </w:rPr>
              <w:t xml:space="preserve">Basic obstetric care prevents the majority — political/resource choice not to provide it</w:t>
            </w:r>
          </w:p>
        </w:tc>
      </w:tr>
      <w:tr>
        <w:tc>
          <w:tcPr>
            <w:tcW w:type="dxa" w:w="2800"/>
            <w:tcBorders>
              <w:top w:val="single" w:color="CCCCCC" w:sz="1"/>
              <w:left w:val="single" w:color="CCCCCC" w:sz="1"/>
              <w:bottom w:val="single" w:color="CCCCCC" w:sz="1"/>
              <w:right w:val="single" w:color="CCCCCC" w:sz="1"/>
            </w:tcBorders>
            <w:shd w:fill="F0F4F4" w:val="clear"/>
            <w:tcMar>
              <w:top w:type="dxa" w:w="80"/>
              <w:left w:type="dxa" w:w="120"/>
              <w:bottom w:type="dxa" w:w="80"/>
              <w:right w:type="dxa" w:w="120"/>
            </w:tcMar>
            <w:vAlign w:val="center"/>
          </w:tcPr>
          <w:p>
            <w:pPr>
              <w:jc w:val="left"/>
            </w:pPr>
            <w:r>
              <w:rPr>
                <w:rFonts w:ascii="Arial" w:cs="Arial" w:eastAsia="Arial" w:hAnsi="Arial"/>
                <w:b w:val="false"/>
                <w:bCs w:val="false"/>
                <w:color w:val="1A1A2E"/>
                <w:sz w:val="19"/>
                <w:szCs w:val="19"/>
              </w:rPr>
              <w:t xml:space="preserve">Malaria</w:t>
            </w:r>
          </w:p>
        </w:tc>
        <w:tc>
          <w:tcPr>
            <w:tcW w:type="dxa" w:w="1800"/>
            <w:tcBorders>
              <w:top w:val="single" w:color="CCCCCC" w:sz="1"/>
              <w:left w:val="single" w:color="CCCCCC" w:sz="1"/>
              <w:bottom w:val="single" w:color="CCCCCC" w:sz="1"/>
              <w:right w:val="single" w:color="CCCCCC" w:sz="1"/>
            </w:tcBorders>
            <w:shd w:fill="FFF0F0" w:val="clear"/>
            <w:tcMar>
              <w:top w:type="dxa" w:w="80"/>
              <w:left w:type="dxa" w:w="120"/>
              <w:bottom w:type="dxa" w:w="80"/>
              <w:right w:type="dxa" w:w="120"/>
            </w:tcMar>
            <w:vAlign w:val="center"/>
          </w:tcPr>
          <w:p>
            <w:pPr>
              <w:jc w:val="center"/>
            </w:pPr>
            <w:r>
              <w:rPr>
                <w:rFonts w:ascii="Arial" w:cs="Arial" w:eastAsia="Arial" w:hAnsi="Arial"/>
                <w:b/>
                <w:bCs/>
                <w:color w:val="B71C1C"/>
                <w:sz w:val="19"/>
                <w:szCs w:val="19"/>
              </w:rPr>
              <w:t xml:space="preserve">17% of post-neonatal deaths</w:t>
            </w:r>
          </w:p>
        </w:tc>
        <w:tc>
          <w:tcPr>
            <w:tcW w:type="dxa" w:w="4760"/>
            <w:tcBorders>
              <w:top w:val="single" w:color="CCCCCC" w:sz="1"/>
              <w:left w:val="single" w:color="CCCCCC" w:sz="1"/>
              <w:bottom w:val="single" w:color="CCCCCC" w:sz="1"/>
              <w:right w:val="single" w:color="CCCCCC" w:sz="1"/>
            </w:tcBorders>
            <w:shd w:fill="F0F4F4" w:val="clear"/>
            <w:tcMar>
              <w:top w:type="dxa" w:w="80"/>
              <w:left w:type="dxa" w:w="120"/>
              <w:bottom w:type="dxa" w:w="80"/>
              <w:right w:type="dxa" w:w="120"/>
            </w:tcMar>
            <w:vAlign w:val="center"/>
          </w:tcPr>
          <w:p>
            <w:pPr>
              <w:jc w:val="left"/>
            </w:pPr>
            <w:r>
              <w:rPr>
                <w:rFonts w:ascii="Arial" w:cs="Arial" w:eastAsia="Arial" w:hAnsi="Arial"/>
                <w:b w:val="false"/>
                <w:bCs w:val="false"/>
                <w:color w:val="1A1A2E"/>
                <w:sz w:val="19"/>
                <w:szCs w:val="19"/>
              </w:rPr>
              <w:t xml:space="preserve">Primarily Chad, DRC, Niger, Nigeria — progress stalled after 2015</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1A1A2E"/>
                <w:sz w:val="19"/>
                <w:szCs w:val="19"/>
              </w:rPr>
              <w:t xml:space="preserve">Pneumonia</w:t>
            </w:r>
          </w:p>
        </w:tc>
        <w:tc>
          <w:tcPr>
            <w:tcW w:type="dxa" w:w="1800"/>
            <w:tcBorders>
              <w:top w:val="single" w:color="CCCCCC" w:sz="1"/>
              <w:left w:val="single" w:color="CCCCCC" w:sz="1"/>
              <w:bottom w:val="single" w:color="CCCCCC" w:sz="1"/>
              <w:right w:val="single" w:color="CCCCCC" w:sz="1"/>
            </w:tcBorders>
            <w:shd w:fill="FFF0F0" w:val="clear"/>
            <w:tcMar>
              <w:top w:type="dxa" w:w="80"/>
              <w:left w:type="dxa" w:w="120"/>
              <w:bottom w:type="dxa" w:w="80"/>
              <w:right w:type="dxa" w:w="120"/>
            </w:tcMar>
            <w:vAlign w:val="center"/>
          </w:tcPr>
          <w:p>
            <w:pPr>
              <w:jc w:val="center"/>
            </w:pPr>
            <w:r>
              <w:rPr>
                <w:rFonts w:ascii="Arial" w:cs="Arial" w:eastAsia="Arial" w:hAnsi="Arial"/>
                <w:b/>
                <w:bCs/>
                <w:color w:val="B71C1C"/>
                <w:sz w:val="19"/>
                <w:szCs w:val="19"/>
              </w:rPr>
              <w:t xml:space="preserve">~14% of post-neonatal deaths</w:t>
            </w:r>
          </w:p>
        </w:tc>
        <w:tc>
          <w:tcPr>
            <w:tcW w:type="dxa" w:w="4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1A1A2E"/>
                <w:sz w:val="19"/>
                <w:szCs w:val="19"/>
              </w:rPr>
              <w:t xml:space="preserve">Antibiotic treatment costs less than $1 per course; access is a structural failure</w:t>
            </w:r>
          </w:p>
        </w:tc>
      </w:tr>
      <w:tr>
        <w:tc>
          <w:tcPr>
            <w:tcW w:type="dxa" w:w="2800"/>
            <w:tcBorders>
              <w:top w:val="single" w:color="CCCCCC" w:sz="1"/>
              <w:left w:val="single" w:color="CCCCCC" w:sz="1"/>
              <w:bottom w:val="single" w:color="CCCCCC" w:sz="1"/>
              <w:right w:val="single" w:color="CCCCCC" w:sz="1"/>
            </w:tcBorders>
            <w:shd w:fill="F0F4F4" w:val="clear"/>
            <w:tcMar>
              <w:top w:type="dxa" w:w="80"/>
              <w:left w:type="dxa" w:w="120"/>
              <w:bottom w:type="dxa" w:w="80"/>
              <w:right w:type="dxa" w:w="120"/>
            </w:tcMar>
            <w:vAlign w:val="center"/>
          </w:tcPr>
          <w:p>
            <w:pPr>
              <w:jc w:val="left"/>
            </w:pPr>
            <w:r>
              <w:rPr>
                <w:rFonts w:ascii="Arial" w:cs="Arial" w:eastAsia="Arial" w:hAnsi="Arial"/>
                <w:b w:val="false"/>
                <w:bCs w:val="false"/>
                <w:color w:val="1A1A2E"/>
                <w:sz w:val="19"/>
                <w:szCs w:val="19"/>
              </w:rPr>
              <w:t xml:space="preserve">Diarrhoeal diseases</w:t>
            </w:r>
          </w:p>
        </w:tc>
        <w:tc>
          <w:tcPr>
            <w:tcW w:type="dxa" w:w="1800"/>
            <w:tcBorders>
              <w:top w:val="single" w:color="CCCCCC" w:sz="1"/>
              <w:left w:val="single" w:color="CCCCCC" w:sz="1"/>
              <w:bottom w:val="single" w:color="CCCCCC" w:sz="1"/>
              <w:right w:val="single" w:color="CCCCCC" w:sz="1"/>
            </w:tcBorders>
            <w:shd w:fill="FFF0F0" w:val="clear"/>
            <w:tcMar>
              <w:top w:type="dxa" w:w="80"/>
              <w:left w:type="dxa" w:w="120"/>
              <w:bottom w:type="dxa" w:w="80"/>
              <w:right w:type="dxa" w:w="120"/>
            </w:tcMar>
            <w:vAlign w:val="center"/>
          </w:tcPr>
          <w:p>
            <w:pPr>
              <w:jc w:val="center"/>
            </w:pPr>
            <w:r>
              <w:rPr>
                <w:rFonts w:ascii="Arial" w:cs="Arial" w:eastAsia="Arial" w:hAnsi="Arial"/>
                <w:b/>
                <w:bCs/>
                <w:color w:val="B71C1C"/>
                <w:sz w:val="19"/>
                <w:szCs w:val="19"/>
              </w:rPr>
              <w:t xml:space="preserve">~8% of post-neonatal deaths</w:t>
            </w:r>
          </w:p>
        </w:tc>
        <w:tc>
          <w:tcPr>
            <w:tcW w:type="dxa" w:w="4760"/>
            <w:tcBorders>
              <w:top w:val="single" w:color="CCCCCC" w:sz="1"/>
              <w:left w:val="single" w:color="CCCCCC" w:sz="1"/>
              <w:bottom w:val="single" w:color="CCCCCC" w:sz="1"/>
              <w:right w:val="single" w:color="CCCCCC" w:sz="1"/>
            </w:tcBorders>
            <w:shd w:fill="F0F4F4" w:val="clear"/>
            <w:tcMar>
              <w:top w:type="dxa" w:w="80"/>
              <w:left w:type="dxa" w:w="120"/>
              <w:bottom w:type="dxa" w:w="80"/>
              <w:right w:type="dxa" w:w="120"/>
            </w:tcMar>
            <w:vAlign w:val="center"/>
          </w:tcPr>
          <w:p>
            <w:pPr>
              <w:jc w:val="left"/>
            </w:pPr>
            <w:r>
              <w:rPr>
                <w:rFonts w:ascii="Arial" w:cs="Arial" w:eastAsia="Arial" w:hAnsi="Arial"/>
                <w:b w:val="false"/>
                <w:bCs w:val="false"/>
                <w:color w:val="1A1A2E"/>
                <w:sz w:val="19"/>
                <w:szCs w:val="19"/>
              </w:rPr>
              <w:t xml:space="preserve">Oral rehydration therapy costs cents; 1.6 million children still die from it annually</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1A1A2E"/>
                <w:sz w:val="19"/>
                <w:szCs w:val="19"/>
              </w:rPr>
              <w:t xml:space="preserve">Severe acute malnutrition</w:t>
            </w:r>
          </w:p>
        </w:tc>
        <w:tc>
          <w:tcPr>
            <w:tcW w:type="dxa" w:w="1800"/>
            <w:tcBorders>
              <w:top w:val="single" w:color="CCCCCC" w:sz="1"/>
              <w:left w:val="single" w:color="CCCCCC" w:sz="1"/>
              <w:bottom w:val="single" w:color="CCCCCC" w:sz="1"/>
              <w:right w:val="single" w:color="CCCCCC" w:sz="1"/>
            </w:tcBorders>
            <w:shd w:fill="FFF0F0" w:val="clear"/>
            <w:tcMar>
              <w:top w:type="dxa" w:w="80"/>
              <w:left w:type="dxa" w:w="120"/>
              <w:bottom w:type="dxa" w:w="80"/>
              <w:right w:type="dxa" w:w="120"/>
            </w:tcMar>
            <w:vAlign w:val="center"/>
          </w:tcPr>
          <w:p>
            <w:pPr>
              <w:jc w:val="center"/>
            </w:pPr>
            <w:r>
              <w:rPr>
                <w:rFonts w:ascii="Arial" w:cs="Arial" w:eastAsia="Arial" w:hAnsi="Arial"/>
                <w:b/>
                <w:bCs/>
                <w:color w:val="B71C1C"/>
                <w:sz w:val="19"/>
                <w:szCs w:val="19"/>
              </w:rPr>
              <w:t xml:space="preserve">5%+ (100,000+ direct deaths)</w:t>
            </w:r>
          </w:p>
        </w:tc>
        <w:tc>
          <w:tcPr>
            <w:tcW w:type="dxa" w:w="4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1A1A2E"/>
                <w:sz w:val="19"/>
                <w:szCs w:val="19"/>
              </w:rPr>
              <w:t xml:space="preserve">First measured in 2024 report; indirect burden is 'substantially underestimated'</w:t>
            </w:r>
          </w:p>
        </w:tc>
      </w:tr>
      <w:tr>
        <w:tc>
          <w:tcPr>
            <w:tcW w:type="dxa" w:w="2800"/>
            <w:tcBorders>
              <w:top w:val="single" w:color="CCCCCC" w:sz="1"/>
              <w:left w:val="single" w:color="CCCCCC" w:sz="1"/>
              <w:bottom w:val="single" w:color="CCCCCC" w:sz="1"/>
              <w:right w:val="single" w:color="CCCCCC" w:sz="1"/>
            </w:tcBorders>
            <w:shd w:fill="F0F4F4" w:val="clear"/>
            <w:tcMar>
              <w:top w:type="dxa" w:w="80"/>
              <w:left w:type="dxa" w:w="120"/>
              <w:bottom w:type="dxa" w:w="80"/>
              <w:right w:type="dxa" w:w="120"/>
            </w:tcMar>
            <w:vAlign w:val="center"/>
          </w:tcPr>
          <w:p>
            <w:pPr>
              <w:jc w:val="left"/>
            </w:pPr>
            <w:r>
              <w:rPr>
                <w:rFonts w:ascii="Arial" w:cs="Arial" w:eastAsia="Arial" w:hAnsi="Arial"/>
                <w:b w:val="false"/>
                <w:bCs w:val="false"/>
                <w:color w:val="1A1A2E"/>
                <w:sz w:val="19"/>
                <w:szCs w:val="19"/>
              </w:rPr>
              <w:t xml:space="preserve">Road traffic injuries</w:t>
            </w:r>
          </w:p>
        </w:tc>
        <w:tc>
          <w:tcPr>
            <w:tcW w:type="dxa" w:w="1800"/>
            <w:tcBorders>
              <w:top w:val="single" w:color="CCCCCC" w:sz="1"/>
              <w:left w:val="single" w:color="CCCCCC" w:sz="1"/>
              <w:bottom w:val="single" w:color="CCCCCC" w:sz="1"/>
              <w:right w:val="single" w:color="CCCCCC" w:sz="1"/>
            </w:tcBorders>
            <w:shd w:fill="FFF0F0" w:val="clear"/>
            <w:tcMar>
              <w:top w:type="dxa" w:w="80"/>
              <w:left w:type="dxa" w:w="120"/>
              <w:bottom w:type="dxa" w:w="80"/>
              <w:right w:type="dxa" w:w="120"/>
            </w:tcMar>
            <w:vAlign w:val="center"/>
          </w:tcPr>
          <w:p>
            <w:pPr>
              <w:jc w:val="center"/>
            </w:pPr>
            <w:r>
              <w:rPr>
                <w:rFonts w:ascii="Arial" w:cs="Arial" w:eastAsia="Arial" w:hAnsi="Arial"/>
                <w:b/>
                <w:bCs/>
                <w:color w:val="B71C1C"/>
                <w:sz w:val="19"/>
                <w:szCs w:val="19"/>
              </w:rPr>
              <w:t xml:space="preserve">Leading cause for boys 15–19</w:t>
            </w:r>
          </w:p>
        </w:tc>
        <w:tc>
          <w:tcPr>
            <w:tcW w:type="dxa" w:w="4760"/>
            <w:tcBorders>
              <w:top w:val="single" w:color="CCCCCC" w:sz="1"/>
              <w:left w:val="single" w:color="CCCCCC" w:sz="1"/>
              <w:bottom w:val="single" w:color="CCCCCC" w:sz="1"/>
              <w:right w:val="single" w:color="CCCCCC" w:sz="1"/>
            </w:tcBorders>
            <w:shd w:fill="F0F4F4" w:val="clear"/>
            <w:tcMar>
              <w:top w:type="dxa" w:w="80"/>
              <w:left w:type="dxa" w:w="120"/>
              <w:bottom w:type="dxa" w:w="80"/>
              <w:right w:type="dxa" w:w="120"/>
            </w:tcMar>
            <w:vAlign w:val="center"/>
          </w:tcPr>
          <w:p>
            <w:pPr>
              <w:jc w:val="left"/>
            </w:pPr>
            <w:r>
              <w:rPr>
                <w:rFonts w:ascii="Arial" w:cs="Arial" w:eastAsia="Arial" w:hAnsi="Arial"/>
                <w:b w:val="false"/>
                <w:bCs w:val="false"/>
                <w:color w:val="1A1A2E"/>
                <w:sz w:val="19"/>
                <w:szCs w:val="19"/>
              </w:rPr>
              <w:t xml:space="preserve">Structural: same road deaths as adult data shows</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1A1A2E"/>
                <w:sz w:val="19"/>
                <w:szCs w:val="19"/>
              </w:rPr>
              <w:t xml:space="preserve">Self-harm</w:t>
            </w:r>
          </w:p>
        </w:tc>
        <w:tc>
          <w:tcPr>
            <w:tcW w:type="dxa" w:w="1800"/>
            <w:tcBorders>
              <w:top w:val="single" w:color="CCCCCC" w:sz="1"/>
              <w:left w:val="single" w:color="CCCCCC" w:sz="1"/>
              <w:bottom w:val="single" w:color="CCCCCC" w:sz="1"/>
              <w:right w:val="single" w:color="CCCCCC" w:sz="1"/>
            </w:tcBorders>
            <w:shd w:fill="FFF0F0" w:val="clear"/>
            <w:tcMar>
              <w:top w:type="dxa" w:w="80"/>
              <w:left w:type="dxa" w:w="120"/>
              <w:bottom w:type="dxa" w:w="80"/>
              <w:right w:type="dxa" w:w="120"/>
            </w:tcMar>
            <w:vAlign w:val="center"/>
          </w:tcPr>
          <w:p>
            <w:pPr>
              <w:jc w:val="center"/>
            </w:pPr>
            <w:r>
              <w:rPr>
                <w:rFonts w:ascii="Arial" w:cs="Arial" w:eastAsia="Arial" w:hAnsi="Arial"/>
                <w:b/>
                <w:bCs/>
                <w:color w:val="B71C1C"/>
                <w:sz w:val="19"/>
                <w:szCs w:val="19"/>
              </w:rPr>
              <w:t xml:space="preserve">Leading cause for girls 15–19</w:t>
            </w:r>
          </w:p>
        </w:tc>
        <w:tc>
          <w:tcPr>
            <w:tcW w:type="dxa" w:w="4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1A1A2E"/>
                <w:sz w:val="19"/>
                <w:szCs w:val="19"/>
              </w:rPr>
              <w:t xml:space="preserve">Mental health infrastructure absent in most affected regions</w:t>
            </w:r>
          </w:p>
        </w:tc>
      </w:tr>
    </w:tbl>
    <w:p>
      <w:pPr>
        <w:spacing w:before="60" w:after="60"/>
      </w:pPr>
      <w:r>
        <w:t xml:space="preserve"/>
      </w:r>
    </w:p>
    <w:p>
      <w:pPr>
        <w:pStyle w:val="Heading2"/>
        <w:spacing w:before="280" w:after="120"/>
      </w:pPr>
      <w:r>
        <w:rPr>
          <w:rFonts w:ascii="Arial" w:cs="Arial" w:eastAsia="Arial" w:hAnsi="Arial"/>
          <w:b/>
          <w:bCs/>
          <w:color w:val="1A1A2E"/>
          <w:sz w:val="26"/>
          <w:szCs w:val="26"/>
        </w:rPr>
        <w:t xml:space="preserve">Geographic Concentration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400"/>
        <w:gridCol w:w="4760"/>
      </w:tblGrid>
      <w:tr>
        <w:trPr>
          <w:tblHeader/>
        </w:trPr>
        <w:tc>
          <w:tcPr>
            <w:tcW w:type="dxa" w:w="2200"/>
            <w:tcBorders>
              <w:top w:val="single" w:color="CCCCCC" w:sz="1"/>
              <w:left w:val="single" w:color="CCCCCC" w:sz="1"/>
              <w:bottom w:val="single" w:color="CCCCCC" w:sz="1"/>
              <w:right w:val="single" w:color="CCCCCC" w:sz="1"/>
            </w:tcBorders>
            <w:shd w:fill="1A1A2E" w:val="clear"/>
            <w:tcMar>
              <w:top w:type="dxa" w:w="80"/>
              <w:left w:type="dxa" w:w="120"/>
              <w:bottom w:type="dxa" w:w="80"/>
              <w:right w:type="dxa" w:w="120"/>
            </w:tcMar>
          </w:tcPr>
          <w:p>
            <w:pPr>
              <w:jc w:val="left"/>
            </w:pPr>
            <w:r>
              <w:rPr>
                <w:rFonts w:ascii="Arial" w:cs="Arial" w:eastAsia="Arial" w:hAnsi="Arial"/>
                <w:b/>
                <w:bCs/>
                <w:color w:val="FFFFFF"/>
                <w:sz w:val="19"/>
                <w:szCs w:val="19"/>
              </w:rPr>
              <w:t xml:space="preserve">Country</w:t>
            </w:r>
          </w:p>
        </w:tc>
        <w:tc>
          <w:tcPr>
            <w:tcW w:type="dxa" w:w="2400"/>
            <w:tcBorders>
              <w:top w:val="single" w:color="CCCCCC" w:sz="1"/>
              <w:left w:val="single" w:color="CCCCCC" w:sz="1"/>
              <w:bottom w:val="single" w:color="CCCCCC" w:sz="1"/>
              <w:right w:val="single" w:color="CCCCCC" w:sz="1"/>
            </w:tcBorders>
            <w:shd w:fill="1A1A2E" w:val="clear"/>
            <w:tcMar>
              <w:top w:type="dxa" w:w="80"/>
              <w:left w:type="dxa" w:w="120"/>
              <w:bottom w:type="dxa" w:w="80"/>
              <w:right w:type="dxa" w:w="120"/>
            </w:tcMar>
          </w:tcPr>
          <w:p>
            <w:pPr>
              <w:jc w:val="left"/>
            </w:pPr>
            <w:r>
              <w:rPr>
                <w:rFonts w:ascii="Arial" w:cs="Arial" w:eastAsia="Arial" w:hAnsi="Arial"/>
                <w:b/>
                <w:bCs/>
                <w:color w:val="FFFFFF"/>
                <w:sz w:val="19"/>
                <w:szCs w:val="19"/>
              </w:rPr>
              <w:t xml:space="preserve">Indicator</w:t>
            </w:r>
          </w:p>
        </w:tc>
        <w:tc>
          <w:tcPr>
            <w:tcW w:type="dxa" w:w="4760"/>
            <w:tcBorders>
              <w:top w:val="single" w:color="CCCCCC" w:sz="1"/>
              <w:left w:val="single" w:color="CCCCCC" w:sz="1"/>
              <w:bottom w:val="single" w:color="CCCCCC" w:sz="1"/>
              <w:right w:val="single" w:color="CCCCCC" w:sz="1"/>
            </w:tcBorders>
            <w:shd w:fill="1A1A2E" w:val="clear"/>
            <w:tcMar>
              <w:top w:type="dxa" w:w="80"/>
              <w:left w:type="dxa" w:w="120"/>
              <w:bottom w:type="dxa" w:w="80"/>
              <w:right w:type="dxa" w:w="120"/>
            </w:tcMar>
          </w:tcPr>
          <w:p>
            <w:pPr>
              <w:jc w:val="left"/>
            </w:pPr>
            <w:r>
              <w:rPr>
                <w:rFonts w:ascii="Arial" w:cs="Arial" w:eastAsia="Arial" w:hAnsi="Arial"/>
                <w:b/>
                <w:bCs/>
                <w:color w:val="FFFFFF"/>
                <w:sz w:val="19"/>
                <w:szCs w:val="19"/>
              </w:rPr>
              <w:t xml:space="preserve">Driving Factors</w:t>
            </w:r>
          </w:p>
        </w:tc>
      </w:tr>
      <w:tr>
        <w:tc>
          <w:tcPr>
            <w:tcW w:type="dxa" w:w="2200"/>
            <w:tcBorders>
              <w:top w:val="single" w:color="CCCCCC" w:sz="1"/>
              <w:left w:val="single" w:color="CCCCCC" w:sz="1"/>
              <w:bottom w:val="single" w:color="CCCCCC" w:sz="1"/>
              <w:right w:val="single" w:color="CCCCCC" w:sz="1"/>
            </w:tcBorders>
            <w:shd w:fill="F0F4F4" w:val="clear"/>
            <w:tcMar>
              <w:top w:type="dxa" w:w="80"/>
              <w:left w:type="dxa" w:w="120"/>
              <w:bottom w:type="dxa" w:w="80"/>
              <w:right w:type="dxa" w:w="120"/>
            </w:tcMar>
            <w:vAlign w:val="center"/>
          </w:tcPr>
          <w:p>
            <w:pPr>
              <w:jc w:val="left"/>
            </w:pPr>
            <w:r>
              <w:rPr>
                <w:rFonts w:ascii="Arial" w:cs="Arial" w:eastAsia="Arial" w:hAnsi="Arial"/>
                <w:b w:val="false"/>
                <w:bCs w:val="false"/>
                <w:color w:val="1A1A2E"/>
                <w:sz w:val="19"/>
                <w:szCs w:val="19"/>
              </w:rPr>
              <w:t xml:space="preserve">Nigeria</w:t>
            </w:r>
          </w:p>
        </w:tc>
        <w:tc>
          <w:tcPr>
            <w:tcW w:type="dxa" w:w="2400"/>
            <w:tcBorders>
              <w:top w:val="single" w:color="CCCCCC" w:sz="1"/>
              <w:left w:val="single" w:color="CCCCCC" w:sz="1"/>
              <w:bottom w:val="single" w:color="CCCCCC" w:sz="1"/>
              <w:right w:val="single" w:color="CCCCCC" w:sz="1"/>
            </w:tcBorders>
            <w:shd w:fill="FFF0F0" w:val="clear"/>
            <w:tcMar>
              <w:top w:type="dxa" w:w="80"/>
              <w:left w:type="dxa" w:w="120"/>
              <w:bottom w:type="dxa" w:w="80"/>
              <w:right w:type="dxa" w:w="120"/>
            </w:tcMar>
            <w:vAlign w:val="center"/>
          </w:tcPr>
          <w:p>
            <w:pPr>
              <w:jc w:val="left"/>
            </w:pPr>
            <w:r>
              <w:rPr>
                <w:rFonts w:ascii="Arial" w:cs="Arial" w:eastAsia="Arial" w:hAnsi="Arial"/>
                <w:b/>
                <w:bCs/>
                <w:color w:val="B71C1C"/>
                <w:sz w:val="19"/>
                <w:szCs w:val="19"/>
              </w:rPr>
              <w:t xml:space="preserve">Highest under-5 absolute deaths in Africa</w:t>
            </w:r>
          </w:p>
        </w:tc>
        <w:tc>
          <w:tcPr>
            <w:tcW w:type="dxa" w:w="4760"/>
            <w:tcBorders>
              <w:top w:val="single" w:color="CCCCCC" w:sz="1"/>
              <w:left w:val="single" w:color="CCCCCC" w:sz="1"/>
              <w:bottom w:val="single" w:color="CCCCCC" w:sz="1"/>
              <w:right w:val="single" w:color="CCCCCC" w:sz="1"/>
            </w:tcBorders>
            <w:shd w:fill="F0F4F4" w:val="clear"/>
            <w:tcMar>
              <w:top w:type="dxa" w:w="80"/>
              <w:left w:type="dxa" w:w="120"/>
              <w:bottom w:type="dxa" w:w="80"/>
              <w:right w:type="dxa" w:w="120"/>
            </w:tcMar>
            <w:vAlign w:val="center"/>
          </w:tcPr>
          <w:p>
            <w:pPr>
              <w:jc w:val="left"/>
            </w:pPr>
            <w:r>
              <w:rPr>
                <w:rFonts w:ascii="Arial" w:cs="Arial" w:eastAsia="Arial" w:hAnsi="Arial"/>
                <w:b w:val="false"/>
                <w:bCs w:val="false"/>
                <w:color w:val="1A1A2E"/>
                <w:sz w:val="19"/>
                <w:szCs w:val="19"/>
              </w:rPr>
              <w:t xml:space="preserve">31.8M people in acute food insecurity (2024); malaria + conflict</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1A1A2E"/>
                <w:sz w:val="19"/>
                <w:szCs w:val="19"/>
              </w:rPr>
              <w:t xml:space="preserve">DRC</w:t>
            </w:r>
          </w:p>
        </w:tc>
        <w:tc>
          <w:tcPr>
            <w:tcW w:type="dxa" w:w="2400"/>
            <w:tcBorders>
              <w:top w:val="single" w:color="CCCCCC" w:sz="1"/>
              <w:left w:val="single" w:color="CCCCCC" w:sz="1"/>
              <w:bottom w:val="single" w:color="CCCCCC" w:sz="1"/>
              <w:right w:val="single" w:color="CCCCCC" w:sz="1"/>
            </w:tcBorders>
            <w:shd w:fill="FFF0F0" w:val="clear"/>
            <w:tcMar>
              <w:top w:type="dxa" w:w="80"/>
              <w:left w:type="dxa" w:w="120"/>
              <w:bottom w:type="dxa" w:w="80"/>
              <w:right w:type="dxa" w:w="120"/>
            </w:tcMar>
            <w:vAlign w:val="center"/>
          </w:tcPr>
          <w:p>
            <w:pPr>
              <w:jc w:val="left"/>
            </w:pPr>
            <w:r>
              <w:rPr>
                <w:rFonts w:ascii="Arial" w:cs="Arial" w:eastAsia="Arial" w:hAnsi="Arial"/>
                <w:b/>
                <w:bCs/>
                <w:color w:val="B71C1C"/>
                <w:sz w:val="19"/>
                <w:szCs w:val="19"/>
              </w:rPr>
              <w:t xml:space="preserve">2nd highest in Africa by absolute number</w:t>
            </w:r>
          </w:p>
        </w:tc>
        <w:tc>
          <w:tcPr>
            <w:tcW w:type="dxa" w:w="4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1A1A2E"/>
                <w:sz w:val="19"/>
                <w:szCs w:val="19"/>
              </w:rPr>
              <w:t xml:space="preserve">25.6M acutely food insecure; conflict-driven collapse</w:t>
            </w:r>
          </w:p>
        </w:tc>
      </w:tr>
      <w:tr>
        <w:tc>
          <w:tcPr>
            <w:tcW w:type="dxa" w:w="2200"/>
            <w:tcBorders>
              <w:top w:val="single" w:color="CCCCCC" w:sz="1"/>
              <w:left w:val="single" w:color="CCCCCC" w:sz="1"/>
              <w:bottom w:val="single" w:color="CCCCCC" w:sz="1"/>
              <w:right w:val="single" w:color="CCCCCC" w:sz="1"/>
            </w:tcBorders>
            <w:shd w:fill="F0F4F4" w:val="clear"/>
            <w:tcMar>
              <w:top w:type="dxa" w:w="80"/>
              <w:left w:type="dxa" w:w="120"/>
              <w:bottom w:type="dxa" w:w="80"/>
              <w:right w:type="dxa" w:w="120"/>
            </w:tcMar>
            <w:vAlign w:val="center"/>
          </w:tcPr>
          <w:p>
            <w:pPr>
              <w:jc w:val="left"/>
            </w:pPr>
            <w:r>
              <w:rPr>
                <w:rFonts w:ascii="Arial" w:cs="Arial" w:eastAsia="Arial" w:hAnsi="Arial"/>
                <w:b w:val="false"/>
                <w:bCs w:val="false"/>
                <w:color w:val="1A1A2E"/>
                <w:sz w:val="19"/>
                <w:szCs w:val="19"/>
              </w:rPr>
              <w:t xml:space="preserve">Pakistan</w:t>
            </w:r>
          </w:p>
        </w:tc>
        <w:tc>
          <w:tcPr>
            <w:tcW w:type="dxa" w:w="2400"/>
            <w:tcBorders>
              <w:top w:val="single" w:color="CCCCCC" w:sz="1"/>
              <w:left w:val="single" w:color="CCCCCC" w:sz="1"/>
              <w:bottom w:val="single" w:color="CCCCCC" w:sz="1"/>
              <w:right w:val="single" w:color="CCCCCC" w:sz="1"/>
            </w:tcBorders>
            <w:shd w:fill="FFF0F0" w:val="clear"/>
            <w:tcMar>
              <w:top w:type="dxa" w:w="80"/>
              <w:left w:type="dxa" w:w="120"/>
              <w:bottom w:type="dxa" w:w="80"/>
              <w:right w:type="dxa" w:w="120"/>
            </w:tcMar>
            <w:vAlign w:val="center"/>
          </w:tcPr>
          <w:p>
            <w:pPr>
              <w:jc w:val="left"/>
            </w:pPr>
            <w:r>
              <w:rPr>
                <w:rFonts w:ascii="Arial" w:cs="Arial" w:eastAsia="Arial" w:hAnsi="Arial"/>
                <w:b/>
                <w:bCs/>
                <w:color w:val="B71C1C"/>
                <w:sz w:val="19"/>
                <w:szCs w:val="19"/>
              </w:rPr>
              <w:t xml:space="preserve">High SAM deaths + neonatal</w:t>
            </w:r>
          </w:p>
        </w:tc>
        <w:tc>
          <w:tcPr>
            <w:tcW w:type="dxa" w:w="4760"/>
            <w:tcBorders>
              <w:top w:val="single" w:color="CCCCCC" w:sz="1"/>
              <w:left w:val="single" w:color="CCCCCC" w:sz="1"/>
              <w:bottom w:val="single" w:color="CCCCCC" w:sz="1"/>
              <w:right w:val="single" w:color="CCCCCC" w:sz="1"/>
            </w:tcBorders>
            <w:shd w:fill="F0F4F4" w:val="clear"/>
            <w:tcMar>
              <w:top w:type="dxa" w:w="80"/>
              <w:left w:type="dxa" w:w="120"/>
              <w:bottom w:type="dxa" w:w="80"/>
              <w:right w:type="dxa" w:w="120"/>
            </w:tcMar>
            <w:vAlign w:val="center"/>
          </w:tcPr>
          <w:p>
            <w:pPr>
              <w:jc w:val="left"/>
            </w:pPr>
            <w:r>
              <w:rPr>
                <w:rFonts w:ascii="Arial" w:cs="Arial" w:eastAsia="Arial" w:hAnsi="Arial"/>
                <w:b w:val="false"/>
                <w:bCs w:val="false"/>
                <w:color w:val="1A1A2E"/>
                <w:sz w:val="19"/>
                <w:szCs w:val="19"/>
              </w:rPr>
              <w:t xml:space="preserve">11.8M in food crisis; antenatal care gaps</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1A1A2E"/>
                <w:sz w:val="19"/>
                <w:szCs w:val="19"/>
              </w:rPr>
              <w:t xml:space="preserve">Somalia</w:t>
            </w:r>
          </w:p>
        </w:tc>
        <w:tc>
          <w:tcPr>
            <w:tcW w:type="dxa" w:w="2400"/>
            <w:tcBorders>
              <w:top w:val="single" w:color="CCCCCC" w:sz="1"/>
              <w:left w:val="single" w:color="CCCCCC" w:sz="1"/>
              <w:bottom w:val="single" w:color="CCCCCC" w:sz="1"/>
              <w:right w:val="single" w:color="CCCCCC" w:sz="1"/>
            </w:tcBorders>
            <w:shd w:fill="FFF0F0" w:val="clear"/>
            <w:tcMar>
              <w:top w:type="dxa" w:w="80"/>
              <w:left w:type="dxa" w:w="120"/>
              <w:bottom w:type="dxa" w:w="80"/>
              <w:right w:type="dxa" w:w="120"/>
            </w:tcMar>
            <w:vAlign w:val="center"/>
          </w:tcPr>
          <w:p>
            <w:pPr>
              <w:jc w:val="left"/>
            </w:pPr>
            <w:r>
              <w:rPr>
                <w:rFonts w:ascii="Arial" w:cs="Arial" w:eastAsia="Arial" w:hAnsi="Arial"/>
                <w:b/>
                <w:bCs/>
                <w:color w:val="B71C1C"/>
                <w:sz w:val="19"/>
                <w:szCs w:val="19"/>
              </w:rPr>
              <w:t xml:space="preserve">Highest Global Hunger Index score (44.1)</w:t>
            </w:r>
          </w:p>
        </w:tc>
        <w:tc>
          <w:tcPr>
            <w:tcW w:type="dxa" w:w="4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1A1A2E"/>
                <w:sz w:val="19"/>
                <w:szCs w:val="19"/>
              </w:rPr>
              <w:t xml:space="preserve">Famine-level conditions; near-absent health system</w:t>
            </w:r>
          </w:p>
        </w:tc>
      </w:tr>
      <w:tr>
        <w:tc>
          <w:tcPr>
            <w:tcW w:type="dxa" w:w="2200"/>
            <w:tcBorders>
              <w:top w:val="single" w:color="CCCCCC" w:sz="1"/>
              <w:left w:val="single" w:color="CCCCCC" w:sz="1"/>
              <w:bottom w:val="single" w:color="CCCCCC" w:sz="1"/>
              <w:right w:val="single" w:color="CCCCCC" w:sz="1"/>
            </w:tcBorders>
            <w:shd w:fill="F0F4F4" w:val="clear"/>
            <w:tcMar>
              <w:top w:type="dxa" w:w="80"/>
              <w:left w:type="dxa" w:w="120"/>
              <w:bottom w:type="dxa" w:w="80"/>
              <w:right w:type="dxa" w:w="120"/>
            </w:tcMar>
            <w:vAlign w:val="center"/>
          </w:tcPr>
          <w:p>
            <w:pPr>
              <w:jc w:val="left"/>
            </w:pPr>
            <w:r>
              <w:rPr>
                <w:rFonts w:ascii="Arial" w:cs="Arial" w:eastAsia="Arial" w:hAnsi="Arial"/>
                <w:b w:val="false"/>
                <w:bCs w:val="false"/>
                <w:color w:val="1A1A2E"/>
                <w:sz w:val="19"/>
                <w:szCs w:val="19"/>
              </w:rPr>
              <w:t xml:space="preserve">Sudan</w:t>
            </w:r>
          </w:p>
        </w:tc>
        <w:tc>
          <w:tcPr>
            <w:tcW w:type="dxa" w:w="2400"/>
            <w:tcBorders>
              <w:top w:val="single" w:color="CCCCCC" w:sz="1"/>
              <w:left w:val="single" w:color="CCCCCC" w:sz="1"/>
              <w:bottom w:val="single" w:color="CCCCCC" w:sz="1"/>
              <w:right w:val="single" w:color="CCCCCC" w:sz="1"/>
            </w:tcBorders>
            <w:shd w:fill="FFF0F0" w:val="clear"/>
            <w:tcMar>
              <w:top w:type="dxa" w:w="80"/>
              <w:left w:type="dxa" w:w="120"/>
              <w:bottom w:type="dxa" w:w="80"/>
              <w:right w:type="dxa" w:w="120"/>
            </w:tcMar>
            <w:vAlign w:val="center"/>
          </w:tcPr>
          <w:p>
            <w:pPr>
              <w:jc w:val="left"/>
            </w:pPr>
            <w:r>
              <w:rPr>
                <w:rFonts w:ascii="Arial" w:cs="Arial" w:eastAsia="Arial" w:hAnsi="Arial"/>
                <w:b/>
                <w:bCs/>
                <w:color w:val="B71C1C"/>
                <w:sz w:val="19"/>
                <w:szCs w:val="19"/>
              </w:rPr>
              <w:t xml:space="preserve">Confirmed famine (late 2024)</w:t>
            </w:r>
          </w:p>
        </w:tc>
        <w:tc>
          <w:tcPr>
            <w:tcW w:type="dxa" w:w="4760"/>
            <w:tcBorders>
              <w:top w:val="single" w:color="CCCCCC" w:sz="1"/>
              <w:left w:val="single" w:color="CCCCCC" w:sz="1"/>
              <w:bottom w:val="single" w:color="CCCCCC" w:sz="1"/>
              <w:right w:val="single" w:color="CCCCCC" w:sz="1"/>
            </w:tcBorders>
            <w:shd w:fill="F0F4F4" w:val="clear"/>
            <w:tcMar>
              <w:top w:type="dxa" w:w="80"/>
              <w:left w:type="dxa" w:w="120"/>
              <w:bottom w:type="dxa" w:w="80"/>
              <w:right w:type="dxa" w:w="120"/>
            </w:tcMar>
            <w:vAlign w:val="center"/>
          </w:tcPr>
          <w:p>
            <w:pPr>
              <w:jc w:val="left"/>
            </w:pPr>
            <w:r>
              <w:rPr>
                <w:rFonts w:ascii="Arial" w:cs="Arial" w:eastAsia="Arial" w:hAnsi="Arial"/>
                <w:b w:val="false"/>
                <w:bCs w:val="false"/>
                <w:color w:val="1A1A2E"/>
                <w:sz w:val="19"/>
                <w:szCs w:val="19"/>
              </w:rPr>
              <w:t xml:space="preserve">25.6M acutely food insecure; conflict-driven catastrophe</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1A1A2E"/>
                <w:sz w:val="19"/>
                <w:szCs w:val="19"/>
              </w:rPr>
              <w:t xml:space="preserve">Yemen</w:t>
            </w:r>
          </w:p>
        </w:tc>
        <w:tc>
          <w:tcPr>
            <w:tcW w:type="dxa" w:w="2400"/>
            <w:tcBorders>
              <w:top w:val="single" w:color="CCCCCC" w:sz="1"/>
              <w:left w:val="single" w:color="CCCCCC" w:sz="1"/>
              <w:bottom w:val="single" w:color="CCCCCC" w:sz="1"/>
              <w:right w:val="single" w:color="CCCCCC" w:sz="1"/>
            </w:tcBorders>
            <w:shd w:fill="FFF0F0" w:val="clear"/>
            <w:tcMar>
              <w:top w:type="dxa" w:w="80"/>
              <w:left w:type="dxa" w:w="120"/>
              <w:bottom w:type="dxa" w:w="80"/>
              <w:right w:type="dxa" w:w="120"/>
            </w:tcMar>
            <w:vAlign w:val="center"/>
          </w:tcPr>
          <w:p>
            <w:pPr>
              <w:jc w:val="left"/>
            </w:pPr>
            <w:r>
              <w:rPr>
                <w:rFonts w:ascii="Arial" w:cs="Arial" w:eastAsia="Arial" w:hAnsi="Arial"/>
                <w:b/>
                <w:bCs/>
                <w:color w:val="B71C1C"/>
                <w:sz w:val="19"/>
                <w:szCs w:val="19"/>
              </w:rPr>
              <w:t xml:space="preserve">17M food insecure</w:t>
            </w:r>
          </w:p>
        </w:tc>
        <w:tc>
          <w:tcPr>
            <w:tcW w:type="dxa" w:w="4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1A1A2E"/>
                <w:sz w:val="19"/>
                <w:szCs w:val="19"/>
              </w:rPr>
              <w:t xml:space="preserve">Civil war + blockade; highest child malnutrition rates globally</w:t>
            </w:r>
          </w:p>
        </w:tc>
      </w:tr>
      <w:tr>
        <w:tc>
          <w:tcPr>
            <w:tcW w:type="dxa" w:w="2200"/>
            <w:tcBorders>
              <w:top w:val="single" w:color="CCCCCC" w:sz="1"/>
              <w:left w:val="single" w:color="CCCCCC" w:sz="1"/>
              <w:bottom w:val="single" w:color="CCCCCC" w:sz="1"/>
              <w:right w:val="single" w:color="CCCCCC" w:sz="1"/>
            </w:tcBorders>
            <w:shd w:fill="F0F4F4" w:val="clear"/>
            <w:tcMar>
              <w:top w:type="dxa" w:w="80"/>
              <w:left w:type="dxa" w:w="120"/>
              <w:bottom w:type="dxa" w:w="80"/>
              <w:right w:type="dxa" w:w="120"/>
            </w:tcMar>
            <w:vAlign w:val="center"/>
          </w:tcPr>
          <w:p>
            <w:pPr>
              <w:jc w:val="left"/>
            </w:pPr>
            <w:r>
              <w:rPr>
                <w:rFonts w:ascii="Arial" w:cs="Arial" w:eastAsia="Arial" w:hAnsi="Arial"/>
                <w:b w:val="false"/>
                <w:bCs w:val="false"/>
                <w:color w:val="1A1A2E"/>
                <w:sz w:val="19"/>
                <w:szCs w:val="19"/>
              </w:rPr>
              <w:t xml:space="preserve">Chad</w:t>
            </w:r>
          </w:p>
        </w:tc>
        <w:tc>
          <w:tcPr>
            <w:tcW w:type="dxa" w:w="2400"/>
            <w:tcBorders>
              <w:top w:val="single" w:color="CCCCCC" w:sz="1"/>
              <w:left w:val="single" w:color="CCCCCC" w:sz="1"/>
              <w:bottom w:val="single" w:color="CCCCCC" w:sz="1"/>
              <w:right w:val="single" w:color="CCCCCC" w:sz="1"/>
            </w:tcBorders>
            <w:shd w:fill="FFF0F0" w:val="clear"/>
            <w:tcMar>
              <w:top w:type="dxa" w:w="80"/>
              <w:left w:type="dxa" w:w="120"/>
              <w:bottom w:type="dxa" w:w="80"/>
              <w:right w:type="dxa" w:w="120"/>
            </w:tcMar>
            <w:vAlign w:val="center"/>
          </w:tcPr>
          <w:p>
            <w:pPr>
              <w:jc w:val="left"/>
            </w:pPr>
            <w:r>
              <w:rPr>
                <w:rFonts w:ascii="Arial" w:cs="Arial" w:eastAsia="Arial" w:hAnsi="Arial"/>
                <w:b/>
                <w:bCs/>
                <w:color w:val="B71C1C"/>
                <w:sz w:val="19"/>
                <w:szCs w:val="19"/>
              </w:rPr>
              <w:t xml:space="preserve">Among highest malaria death rates</w:t>
            </w:r>
          </w:p>
        </w:tc>
        <w:tc>
          <w:tcPr>
            <w:tcW w:type="dxa" w:w="4760"/>
            <w:tcBorders>
              <w:top w:val="single" w:color="CCCCCC" w:sz="1"/>
              <w:left w:val="single" w:color="CCCCCC" w:sz="1"/>
              <w:bottom w:val="single" w:color="CCCCCC" w:sz="1"/>
              <w:right w:val="single" w:color="CCCCCC" w:sz="1"/>
            </w:tcBorders>
            <w:shd w:fill="F0F4F4" w:val="clear"/>
            <w:tcMar>
              <w:top w:type="dxa" w:w="80"/>
              <w:left w:type="dxa" w:w="120"/>
              <w:bottom w:type="dxa" w:w="80"/>
              <w:right w:type="dxa" w:w="120"/>
            </w:tcMar>
            <w:vAlign w:val="center"/>
          </w:tcPr>
          <w:p>
            <w:pPr>
              <w:jc w:val="left"/>
            </w:pPr>
            <w:r>
              <w:rPr>
                <w:rFonts w:ascii="Arial" w:cs="Arial" w:eastAsia="Arial" w:hAnsi="Arial"/>
                <w:b w:val="false"/>
                <w:bCs w:val="false"/>
                <w:color w:val="1A1A2E"/>
                <w:sz w:val="19"/>
                <w:szCs w:val="19"/>
              </w:rPr>
              <w:t xml:space="preserve">Malaria + stunting + conflict — triple burden</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1A1A2E"/>
                <w:sz w:val="19"/>
                <w:szCs w:val="19"/>
              </w:rPr>
              <w:t xml:space="preserve">Afghanistan</w:t>
            </w:r>
          </w:p>
        </w:tc>
        <w:tc>
          <w:tcPr>
            <w:tcW w:type="dxa" w:w="2400"/>
            <w:tcBorders>
              <w:top w:val="single" w:color="CCCCCC" w:sz="1"/>
              <w:left w:val="single" w:color="CCCCCC" w:sz="1"/>
              <w:bottom w:val="single" w:color="CCCCCC" w:sz="1"/>
              <w:right w:val="single" w:color="CCCCCC" w:sz="1"/>
            </w:tcBorders>
            <w:shd w:fill="FFF0F0" w:val="clear"/>
            <w:tcMar>
              <w:top w:type="dxa" w:w="80"/>
              <w:left w:type="dxa" w:w="120"/>
              <w:bottom w:type="dxa" w:w="80"/>
              <w:right w:type="dxa" w:w="120"/>
            </w:tcMar>
            <w:vAlign w:val="center"/>
          </w:tcPr>
          <w:p>
            <w:pPr>
              <w:jc w:val="left"/>
            </w:pPr>
            <w:r>
              <w:rPr>
                <w:rFonts w:ascii="Arial" w:cs="Arial" w:eastAsia="Arial" w:hAnsi="Arial"/>
                <w:b/>
                <w:bCs/>
                <w:color w:val="B71C1C"/>
                <w:sz w:val="19"/>
                <w:szCs w:val="19"/>
              </w:rPr>
              <w:t xml:space="preserve">19.7M acutely hungry</w:t>
            </w:r>
          </w:p>
        </w:tc>
        <w:tc>
          <w:tcPr>
            <w:tcW w:type="dxa" w:w="4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1A1A2E"/>
                <w:sz w:val="19"/>
                <w:szCs w:val="19"/>
              </w:rPr>
              <w:t xml:space="preserve">Over half of population; conflict + drought + economic collapse</w:t>
            </w:r>
          </w:p>
        </w:tc>
      </w:tr>
    </w:tbl>
    <w:p>
      <w:pPr>
        <w:spacing w:before="60" w:after="60"/>
      </w:pPr>
      <w:r>
        <w:t xml:space="preserve"/>
      </w:r>
    </w:p>
    <w:p>
      <w:pPr>
        <w:pStyle w:val="Heading2"/>
        <w:spacing w:before="280" w:after="120"/>
      </w:pPr>
      <w:r>
        <w:rPr>
          <w:rFonts w:ascii="Arial" w:cs="Arial" w:eastAsia="Arial" w:hAnsi="Arial"/>
          <w:b/>
          <w:bCs/>
          <w:color w:val="1A1A2E"/>
          <w:sz w:val="26"/>
          <w:szCs w:val="26"/>
        </w:rPr>
        <w:t xml:space="preserve">The Holoviceose Connection</w:t>
      </w:r>
    </w:p>
    <w:p>
      <w:pPr>
        <w:spacing w:before="80" w:after="120"/>
        <w:jc w:val="both"/>
      </w:pPr>
      <w:r>
        <w:rPr>
          <w:rFonts w:ascii="Arial" w:cs="Arial" w:eastAsia="Arial" w:hAnsi="Arial"/>
          <w:color w:val="1A1A2E"/>
          <w:sz w:val="22"/>
          <w:szCs w:val="22"/>
        </w:rPr>
        <w:t xml:space="preserve">The decisive finding is that global development assistance for health fell by nearly 27% in 2025 compared to 2024. The Gates Foundation warned that progress on child mortality was going into reverse as a direct result of aid cuts. This is not a natural disaster. It is a political decision — by wealthy governments — to reduce funding to programs that prevent the deaths of millions of children. This is Holoviceose: not a massacre with a face, but a policy with a body count.</w:t>
      </w:r>
    </w:p>
    <w:p>
      <w:pPr>
        <w:pBdr>
          <w:left w:val="single" w:color="B71C1C" w:sz="6" w:space="12"/>
        </w:pBdr>
        <w:spacing w:before="120" w:after="120"/>
        <w:ind w:left="720" w:right="360"/>
      </w:pPr>
      <w:r>
        <w:rPr>
          <w:rFonts w:ascii="Arial" w:cs="Arial" w:eastAsia="Arial" w:hAnsi="Arial"/>
          <w:i/>
          <w:iCs/>
          <w:color w:val="444444"/>
          <w:sz w:val="20"/>
          <w:szCs w:val="20"/>
        </w:rPr>
        <w:t xml:space="preserve">"No child should die from diseases that we know how to prevent. But we see worrying signs that progress in child survival is slowing — and at a time where we're seeing further global budget cuts."</w:t>
      </w:r>
    </w:p>
    <w:p>
      <w:pPr>
        <w:spacing w:before="40" w:after="80"/>
        <w:ind w:left="720"/>
      </w:pPr>
      <w:r>
        <w:rPr>
          <w:rFonts w:ascii="Arial" w:cs="Arial" w:eastAsia="Arial" w:hAnsi="Arial"/>
          <w:i/>
          <w:iCs/>
          <w:color w:val="777777"/>
          <w:sz w:val="18"/>
          <w:szCs w:val="18"/>
        </w:rPr>
        <w:t xml:space="preserve">— Source: UNICEF Executive Director Catherine Russell, 18 March 2026</w:t>
      </w:r>
    </w:p>
    <w:p>
      <w:pPr>
        <w:spacing w:before="60" w:after="60"/>
      </w:pPr>
      <w:r>
        <w:t xml:space="preserve"/>
      </w:r>
    </w:p>
    <w:p>
      <w:pPr>
        <w:pStyle w:val="Heading1"/>
        <w:pBdr>
          <w:bottom w:val="single" w:color="B71C1C" w:sz="4" w:space="6"/>
        </w:pBdr>
        <w:spacing w:before="360" w:after="180"/>
      </w:pPr>
      <w:r>
        <w:rPr>
          <w:rFonts w:ascii="Arial" w:cs="Arial" w:eastAsia="Arial" w:hAnsi="Arial"/>
          <w:b/>
          <w:bCs/>
          <w:color w:val="B71C1C"/>
          <w:sz w:val="32"/>
          <w:szCs w:val="32"/>
        </w:rPr>
        <w:t xml:space="preserve">V. Abortion — Scale, Safety, and the Structural Dimension</w:t>
      </w:r>
    </w:p>
    <w:p>
      <w:pPr>
        <w:spacing w:before="80" w:after="120"/>
        <w:jc w:val="both"/>
      </w:pPr>
      <w:r>
        <w:rPr>
          <w:rFonts w:ascii="Arial" w:cs="Arial" w:eastAsia="Arial" w:hAnsi="Arial"/>
          <w:color w:val="1A1A2E"/>
          <w:sz w:val="22"/>
          <w:szCs w:val="22"/>
        </w:rPr>
        <w:t xml:space="preserve">Abortion is the most statistically significant and morally complex dimension of the Holoviceose framework. The global figure of approximately 73 million induced abortions per year — equivalent to 200,000 per day — exceeds every other cause of death on this list combined. Its inclusion in the Holoviceose analysis rests not on a political position for or against abortion, but on the structural argument: the conditions driving unintended pregnancy — poverty, lack of education, absence of contraception access, social inequality — are themselves products of systematic virtue-destruction.</w:t>
      </w:r>
    </w:p>
    <w:p>
      <w:pPr>
        <w:spacing w:before="60" w:after="60"/>
      </w:pPr>
      <w:r>
        <w:t xml:space="preserve"/>
      </w:r>
    </w:p>
    <w:p>
      <w:pPr>
        <w:pBdr>
          <w:left w:val="single" w:color="B71C1C" w:sz="6" w:space="12"/>
        </w:pBdr>
        <w:spacing w:before="120" w:after="120"/>
        <w:ind w:left="720" w:right="360"/>
      </w:pPr>
      <w:r>
        <w:rPr>
          <w:rFonts w:ascii="Arial" w:cs="Arial" w:eastAsia="Arial" w:hAnsi="Arial"/>
          <w:i/>
          <w:iCs/>
          <w:color w:val="444444"/>
          <w:sz w:val="20"/>
          <w:szCs w:val="20"/>
        </w:rPr>
        <w:t xml:space="preserve">"Around 73 million induced abortions take place worldwide each year, corresponding to approximately 200,000 abortions per day."</w:t>
      </w:r>
    </w:p>
    <w:p>
      <w:pPr>
        <w:spacing w:before="40" w:after="80"/>
        <w:ind w:left="720"/>
      </w:pPr>
      <w:r>
        <w:rPr>
          <w:rFonts w:ascii="Arial" w:cs="Arial" w:eastAsia="Arial" w:hAnsi="Arial"/>
          <w:i/>
          <w:iCs/>
          <w:color w:val="777777"/>
          <w:sz w:val="18"/>
          <w:szCs w:val="18"/>
        </w:rPr>
        <w:t xml:space="preserve">— Source: WHO Fact Sheet on Abortion, 2024 (based on Lancet Global Health, 2020)</w:t>
      </w:r>
    </w:p>
    <w:p>
      <w:pPr>
        <w:spacing w:before="60" w:after="60"/>
      </w:pPr>
      <w:r>
        <w:t xml:space="preserve"/>
      </w:r>
    </w:p>
    <w:p>
      <w:pPr>
        <w:pStyle w:val="Heading2"/>
        <w:spacing w:before="280" w:after="120"/>
      </w:pPr>
      <w:r>
        <w:rPr>
          <w:rFonts w:ascii="Arial" w:cs="Arial" w:eastAsia="Arial" w:hAnsi="Arial"/>
          <w:b/>
          <w:bCs/>
          <w:color w:val="1A1A2E"/>
          <w:sz w:val="26"/>
          <w:szCs w:val="26"/>
        </w:rPr>
        <w:t xml:space="preserve">Key Global Statistics</w:t>
      </w:r>
    </w:p>
    <w:p>
      <w:pPr>
        <w:pStyle w:val="ListParagraph"/>
        <w:numPr>
          <w:ilvl w:val="0"/>
          <w:numId w:val="2"/>
        </w:numPr>
        <w:spacing w:before="60" w:after="60"/>
      </w:pPr>
      <w:r>
        <w:rPr>
          <w:rFonts w:ascii="Arial" w:cs="Arial" w:eastAsia="Arial" w:hAnsi="Arial"/>
          <w:color w:val="1A1A2E"/>
          <w:sz w:val="22"/>
          <w:szCs w:val="22"/>
        </w:rPr>
        <w:t xml:space="preserve">~73 million induced abortions per year worldwide (WHO/Guttmacher/Lancet 2020)</w:t>
      </w:r>
    </w:p>
    <w:p>
      <w:pPr>
        <w:pStyle w:val="ListParagraph"/>
        <w:numPr>
          <w:ilvl w:val="0"/>
          <w:numId w:val="2"/>
        </w:numPr>
        <w:spacing w:before="60" w:after="60"/>
      </w:pPr>
      <w:r>
        <w:rPr>
          <w:rFonts w:ascii="Arial" w:cs="Arial" w:eastAsia="Arial" w:hAnsi="Arial"/>
          <w:color w:val="1A1A2E"/>
          <w:sz w:val="22"/>
          <w:szCs w:val="22"/>
        </w:rPr>
        <w:t xml:space="preserve">61% of all unintended pregnancies end in abortion</w:t>
      </w:r>
    </w:p>
    <w:p>
      <w:pPr>
        <w:pStyle w:val="ListParagraph"/>
        <w:numPr>
          <w:ilvl w:val="0"/>
          <w:numId w:val="2"/>
        </w:numPr>
        <w:spacing w:before="60" w:after="60"/>
      </w:pPr>
      <w:r>
        <w:rPr>
          <w:rFonts w:ascii="Arial" w:cs="Arial" w:eastAsia="Arial" w:hAnsi="Arial"/>
          <w:color w:val="1A1A2E"/>
          <w:sz w:val="22"/>
          <w:szCs w:val="22"/>
        </w:rPr>
        <w:t xml:space="preserve">29% of all pregnancies globally end in abortion</w:t>
      </w:r>
    </w:p>
    <w:p>
      <w:pPr>
        <w:pStyle w:val="ListParagraph"/>
        <w:numPr>
          <w:ilvl w:val="0"/>
          <w:numId w:val="2"/>
        </w:numPr>
        <w:spacing w:before="60" w:after="60"/>
      </w:pPr>
      <w:r>
        <w:rPr>
          <w:rFonts w:ascii="Arial" w:cs="Arial" w:eastAsia="Arial" w:hAnsi="Arial"/>
          <w:color w:val="1A1A2E"/>
          <w:sz w:val="22"/>
          <w:szCs w:val="22"/>
        </w:rPr>
        <w:t xml:space="preserve">121 million unintended pregnancies occur every year</w:t>
      </w:r>
    </w:p>
    <w:p>
      <w:pPr>
        <w:pStyle w:val="ListParagraph"/>
        <w:numPr>
          <w:ilvl w:val="0"/>
          <w:numId w:val="2"/>
        </w:numPr>
        <w:spacing w:before="60" w:after="60"/>
      </w:pPr>
      <w:r>
        <w:rPr>
          <w:rFonts w:ascii="Arial" w:cs="Arial" w:eastAsia="Arial" w:hAnsi="Arial"/>
          <w:color w:val="1A1A2E"/>
          <w:sz w:val="22"/>
          <w:szCs w:val="22"/>
        </w:rPr>
        <w:t xml:space="preserve">45% of all abortions are unsafe (WHO/Lancet 2017)</w:t>
      </w:r>
    </w:p>
    <w:p>
      <w:pPr>
        <w:pStyle w:val="ListParagraph"/>
        <w:numPr>
          <w:ilvl w:val="0"/>
          <w:numId w:val="2"/>
        </w:numPr>
        <w:spacing w:before="60" w:after="60"/>
      </w:pPr>
      <w:r>
        <w:rPr>
          <w:rFonts w:ascii="Arial" w:cs="Arial" w:eastAsia="Arial" w:hAnsi="Arial"/>
          <w:color w:val="1A1A2E"/>
          <w:sz w:val="22"/>
          <w:szCs w:val="22"/>
        </w:rPr>
        <w:t xml:space="preserve">~25 million unsafe abortions per year — 97% in developing countries (Africa, Asia, Latin America)</w:t>
      </w:r>
    </w:p>
    <w:p>
      <w:pPr>
        <w:pStyle w:val="ListParagraph"/>
        <w:numPr>
          <w:ilvl w:val="0"/>
          <w:numId w:val="2"/>
        </w:numPr>
        <w:spacing w:before="60" w:after="60"/>
      </w:pPr>
      <w:r>
        <w:rPr>
          <w:rFonts w:ascii="Arial" w:cs="Arial" w:eastAsia="Arial" w:hAnsi="Arial"/>
          <w:color w:val="1A1A2E"/>
          <w:sz w:val="22"/>
          <w:szCs w:val="22"/>
        </w:rPr>
        <w:t xml:space="preserve">~68,000 women die annually from unsafe abortion complications</w:t>
      </w:r>
    </w:p>
    <w:p>
      <w:pPr>
        <w:pStyle w:val="ListParagraph"/>
        <w:numPr>
          <w:ilvl w:val="0"/>
          <w:numId w:val="2"/>
        </w:numPr>
        <w:spacing w:before="60" w:after="60"/>
      </w:pPr>
      <w:r>
        <w:rPr>
          <w:rFonts w:ascii="Arial" w:cs="Arial" w:eastAsia="Arial" w:hAnsi="Arial"/>
          <w:color w:val="1A1A2E"/>
          <w:sz w:val="22"/>
          <w:szCs w:val="22"/>
        </w:rPr>
        <w:t xml:space="preserve">5 million additional cases of disability from unsafe abortion procedures</w:t>
      </w:r>
    </w:p>
    <w:p>
      <w:pPr>
        <w:pStyle w:val="ListParagraph"/>
        <w:numPr>
          <w:ilvl w:val="0"/>
          <w:numId w:val="2"/>
        </w:numPr>
        <w:spacing w:before="60" w:after="60"/>
      </w:pPr>
      <w:r>
        <w:rPr>
          <w:rFonts w:ascii="Arial" w:cs="Arial" w:eastAsia="Arial" w:hAnsi="Arial"/>
          <w:color w:val="1A1A2E"/>
          <w:sz w:val="22"/>
          <w:szCs w:val="22"/>
        </w:rPr>
        <w:t xml:space="preserve">Abortion rates highest in Africa and Middle East; lowest in Europe (17/1,000 women)</w:t>
      </w:r>
    </w:p>
    <w:p>
      <w:pPr>
        <w:spacing w:before="60" w:after="60"/>
      </w:pPr>
      <w:r>
        <w:t xml:space="preserve"/>
      </w:r>
    </w:p>
    <w:p>
      <w:pPr>
        <w:pStyle w:val="Heading2"/>
        <w:spacing w:before="280" w:after="120"/>
      </w:pPr>
      <w:r>
        <w:rPr>
          <w:rFonts w:ascii="Arial" w:cs="Arial" w:eastAsia="Arial" w:hAnsi="Arial"/>
          <w:b/>
          <w:bCs/>
          <w:color w:val="1A1A2E"/>
          <w:sz w:val="26"/>
          <w:szCs w:val="26"/>
        </w:rPr>
        <w:t xml:space="preserve">Abortion Rates by Region (per 1,000 women of reproductive age)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2000"/>
        <w:gridCol w:w="4760"/>
      </w:tblGrid>
      <w:tr>
        <w:trPr>
          <w:tblHeader/>
        </w:trPr>
        <w:tc>
          <w:tcPr>
            <w:tcW w:type="dxa" w:w="2600"/>
            <w:tcBorders>
              <w:top w:val="single" w:color="CCCCCC" w:sz="1"/>
              <w:left w:val="single" w:color="CCCCCC" w:sz="1"/>
              <w:bottom w:val="single" w:color="CCCCCC" w:sz="1"/>
              <w:right w:val="single" w:color="CCCCCC" w:sz="1"/>
            </w:tcBorders>
            <w:shd w:fill="1A1A2E" w:val="clear"/>
            <w:tcMar>
              <w:top w:type="dxa" w:w="80"/>
              <w:left w:type="dxa" w:w="120"/>
              <w:bottom w:type="dxa" w:w="80"/>
              <w:right w:type="dxa" w:w="120"/>
            </w:tcMar>
          </w:tcPr>
          <w:p>
            <w:pPr>
              <w:jc w:val="left"/>
            </w:pPr>
            <w:r>
              <w:rPr>
                <w:rFonts w:ascii="Arial" w:cs="Arial" w:eastAsia="Arial" w:hAnsi="Arial"/>
                <w:b/>
                <w:bCs/>
                <w:color w:val="FFFFFF"/>
                <w:sz w:val="19"/>
                <w:szCs w:val="19"/>
              </w:rPr>
              <w:t xml:space="preserve">Region</w:t>
            </w:r>
          </w:p>
        </w:tc>
        <w:tc>
          <w:tcPr>
            <w:tcW w:type="dxa" w:w="2000"/>
            <w:tcBorders>
              <w:top w:val="single" w:color="CCCCCC" w:sz="1"/>
              <w:left w:val="single" w:color="CCCCCC" w:sz="1"/>
              <w:bottom w:val="single" w:color="CCCCCC" w:sz="1"/>
              <w:right w:val="single" w:color="CCCCCC" w:sz="1"/>
            </w:tcBorders>
            <w:shd w:fill="1A1A2E" w:val="clear"/>
            <w:tcMar>
              <w:top w:type="dxa" w:w="80"/>
              <w:left w:type="dxa" w:w="120"/>
              <w:bottom w:type="dxa" w:w="80"/>
              <w:right w:type="dxa" w:w="120"/>
            </w:tcMar>
          </w:tcPr>
          <w:p>
            <w:pPr>
              <w:jc w:val="center"/>
            </w:pPr>
            <w:r>
              <w:rPr>
                <w:rFonts w:ascii="Arial" w:cs="Arial" w:eastAsia="Arial" w:hAnsi="Arial"/>
                <w:b/>
                <w:bCs/>
                <w:color w:val="FFFFFF"/>
                <w:sz w:val="19"/>
                <w:szCs w:val="19"/>
              </w:rPr>
              <w:t xml:space="preserve">Rate/1,000 women</w:t>
            </w:r>
          </w:p>
        </w:tc>
        <w:tc>
          <w:tcPr>
            <w:tcW w:type="dxa" w:w="4760"/>
            <w:tcBorders>
              <w:top w:val="single" w:color="CCCCCC" w:sz="1"/>
              <w:left w:val="single" w:color="CCCCCC" w:sz="1"/>
              <w:bottom w:val="single" w:color="CCCCCC" w:sz="1"/>
              <w:right w:val="single" w:color="CCCCCC" w:sz="1"/>
            </w:tcBorders>
            <w:shd w:fill="1A1A2E" w:val="clear"/>
            <w:tcMar>
              <w:top w:type="dxa" w:w="80"/>
              <w:left w:type="dxa" w:w="120"/>
              <w:bottom w:type="dxa" w:w="80"/>
              <w:right w:type="dxa" w:w="120"/>
            </w:tcMar>
          </w:tcPr>
          <w:p>
            <w:pPr>
              <w:jc w:val="left"/>
            </w:pPr>
            <w:r>
              <w:rPr>
                <w:rFonts w:ascii="Arial" w:cs="Arial" w:eastAsia="Arial" w:hAnsi="Arial"/>
                <w:b/>
                <w:bCs/>
                <w:color w:val="FFFFFF"/>
                <w:sz w:val="19"/>
                <w:szCs w:val="19"/>
              </w:rPr>
              <w:t xml:space="preserve">Key Context</w:t>
            </w:r>
          </w:p>
        </w:tc>
      </w:tr>
      <w:tr>
        <w:tc>
          <w:tcPr>
            <w:tcW w:type="dxa" w:w="2600"/>
            <w:tcBorders>
              <w:top w:val="single" w:color="CCCCCC" w:sz="1"/>
              <w:left w:val="single" w:color="CCCCCC" w:sz="1"/>
              <w:bottom w:val="single" w:color="CCCCCC" w:sz="1"/>
              <w:right w:val="single" w:color="CCCCCC" w:sz="1"/>
            </w:tcBorders>
            <w:shd w:fill="F0F4F4" w:val="clear"/>
            <w:tcMar>
              <w:top w:type="dxa" w:w="80"/>
              <w:left w:type="dxa" w:w="120"/>
              <w:bottom w:type="dxa" w:w="80"/>
              <w:right w:type="dxa" w:w="120"/>
            </w:tcMar>
            <w:vAlign w:val="center"/>
          </w:tcPr>
          <w:p>
            <w:pPr>
              <w:jc w:val="left"/>
            </w:pPr>
            <w:r>
              <w:rPr>
                <w:rFonts w:ascii="Arial" w:cs="Arial" w:eastAsia="Arial" w:hAnsi="Arial"/>
                <w:b w:val="false"/>
                <w:bCs w:val="false"/>
                <w:color w:val="1A1A2E"/>
                <w:sz w:val="19"/>
                <w:szCs w:val="19"/>
              </w:rPr>
              <w:t xml:space="preserve">Africa</w:t>
            </w:r>
          </w:p>
        </w:tc>
        <w:tc>
          <w:tcPr>
            <w:tcW w:type="dxa" w:w="2000"/>
            <w:tcBorders>
              <w:top w:val="single" w:color="CCCCCC" w:sz="1"/>
              <w:left w:val="single" w:color="CCCCCC" w:sz="1"/>
              <w:bottom w:val="single" w:color="CCCCCC" w:sz="1"/>
              <w:right w:val="single" w:color="CCCCCC" w:sz="1"/>
            </w:tcBorders>
            <w:shd w:fill="FFF0F0" w:val="clear"/>
            <w:tcMar>
              <w:top w:type="dxa" w:w="80"/>
              <w:left w:type="dxa" w:w="120"/>
              <w:bottom w:type="dxa" w:w="80"/>
              <w:right w:type="dxa" w:w="120"/>
            </w:tcMar>
            <w:vAlign w:val="center"/>
          </w:tcPr>
          <w:p>
            <w:pPr>
              <w:jc w:val="center"/>
            </w:pPr>
            <w:r>
              <w:rPr>
                <w:rFonts w:ascii="Arial" w:cs="Arial" w:eastAsia="Arial" w:hAnsi="Arial"/>
                <w:b/>
                <w:bCs/>
                <w:color w:val="B71C1C"/>
                <w:sz w:val="19"/>
                <w:szCs w:val="19"/>
              </w:rPr>
              <w:t xml:space="preserve">~33–36</w:t>
            </w:r>
          </w:p>
        </w:tc>
        <w:tc>
          <w:tcPr>
            <w:tcW w:type="dxa" w:w="4760"/>
            <w:tcBorders>
              <w:top w:val="single" w:color="CCCCCC" w:sz="1"/>
              <w:left w:val="single" w:color="CCCCCC" w:sz="1"/>
              <w:bottom w:val="single" w:color="CCCCCC" w:sz="1"/>
              <w:right w:val="single" w:color="CCCCCC" w:sz="1"/>
            </w:tcBorders>
            <w:shd w:fill="F0F4F4" w:val="clear"/>
            <w:tcMar>
              <w:top w:type="dxa" w:w="80"/>
              <w:left w:type="dxa" w:w="120"/>
              <w:bottom w:type="dxa" w:w="80"/>
              <w:right w:type="dxa" w:w="120"/>
            </w:tcMar>
            <w:vAlign w:val="center"/>
          </w:tcPr>
          <w:p>
            <w:pPr>
              <w:jc w:val="left"/>
            </w:pPr>
            <w:r>
              <w:rPr>
                <w:rFonts w:ascii="Arial" w:cs="Arial" w:eastAsia="Arial" w:hAnsi="Arial"/>
                <w:b w:val="false"/>
                <w:bCs w:val="false"/>
                <w:color w:val="1A1A2E"/>
                <w:sz w:val="19"/>
                <w:szCs w:val="19"/>
              </w:rPr>
              <w:t xml:space="preserve">Highest rates; majority unsafe; restrictive laws do not reduce rates but increase mortality</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1A1A2E"/>
                <w:sz w:val="19"/>
                <w:szCs w:val="19"/>
              </w:rPr>
              <w:t xml:space="preserve">Latin America &amp; Caribbean</w:t>
            </w:r>
          </w:p>
        </w:tc>
        <w:tc>
          <w:tcPr>
            <w:tcW w:type="dxa" w:w="2000"/>
            <w:tcBorders>
              <w:top w:val="single" w:color="CCCCCC" w:sz="1"/>
              <w:left w:val="single" w:color="CCCCCC" w:sz="1"/>
              <w:bottom w:val="single" w:color="CCCCCC" w:sz="1"/>
              <w:right w:val="single" w:color="CCCCCC" w:sz="1"/>
            </w:tcBorders>
            <w:shd w:fill="FFF0F0" w:val="clear"/>
            <w:tcMar>
              <w:top w:type="dxa" w:w="80"/>
              <w:left w:type="dxa" w:w="120"/>
              <w:bottom w:type="dxa" w:w="80"/>
              <w:right w:type="dxa" w:w="120"/>
            </w:tcMar>
            <w:vAlign w:val="center"/>
          </w:tcPr>
          <w:p>
            <w:pPr>
              <w:jc w:val="center"/>
            </w:pPr>
            <w:r>
              <w:rPr>
                <w:rFonts w:ascii="Arial" w:cs="Arial" w:eastAsia="Arial" w:hAnsi="Arial"/>
                <w:b/>
                <w:bCs/>
                <w:color w:val="B71C1C"/>
                <w:sz w:val="19"/>
                <w:szCs w:val="19"/>
              </w:rPr>
              <w:t xml:space="preserve">~32–35</w:t>
            </w:r>
          </w:p>
        </w:tc>
        <w:tc>
          <w:tcPr>
            <w:tcW w:type="dxa" w:w="4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1A1A2E"/>
                <w:sz w:val="19"/>
                <w:szCs w:val="19"/>
              </w:rPr>
              <w:t xml:space="preserve">Most abortions unsafe due to restrictive legal frameworks</w:t>
            </w:r>
          </w:p>
        </w:tc>
      </w:tr>
      <w:tr>
        <w:tc>
          <w:tcPr>
            <w:tcW w:type="dxa" w:w="2600"/>
            <w:tcBorders>
              <w:top w:val="single" w:color="CCCCCC" w:sz="1"/>
              <w:left w:val="single" w:color="CCCCCC" w:sz="1"/>
              <w:bottom w:val="single" w:color="CCCCCC" w:sz="1"/>
              <w:right w:val="single" w:color="CCCCCC" w:sz="1"/>
            </w:tcBorders>
            <w:shd w:fill="F0F4F4" w:val="clear"/>
            <w:tcMar>
              <w:top w:type="dxa" w:w="80"/>
              <w:left w:type="dxa" w:w="120"/>
              <w:bottom w:type="dxa" w:w="80"/>
              <w:right w:type="dxa" w:w="120"/>
            </w:tcMar>
            <w:vAlign w:val="center"/>
          </w:tcPr>
          <w:p>
            <w:pPr>
              <w:jc w:val="left"/>
            </w:pPr>
            <w:r>
              <w:rPr>
                <w:rFonts w:ascii="Arial" w:cs="Arial" w:eastAsia="Arial" w:hAnsi="Arial"/>
                <w:b w:val="false"/>
                <w:bCs w:val="false"/>
                <w:color w:val="1A1A2E"/>
                <w:sz w:val="19"/>
                <w:szCs w:val="19"/>
              </w:rPr>
              <w:t xml:space="preserve">Asia (South &amp; Central)</w:t>
            </w:r>
          </w:p>
        </w:tc>
        <w:tc>
          <w:tcPr>
            <w:tcW w:type="dxa" w:w="2000"/>
            <w:tcBorders>
              <w:top w:val="single" w:color="CCCCCC" w:sz="1"/>
              <w:left w:val="single" w:color="CCCCCC" w:sz="1"/>
              <w:bottom w:val="single" w:color="CCCCCC" w:sz="1"/>
              <w:right w:val="single" w:color="CCCCCC" w:sz="1"/>
            </w:tcBorders>
            <w:shd w:fill="FFF0F0" w:val="clear"/>
            <w:tcMar>
              <w:top w:type="dxa" w:w="80"/>
              <w:left w:type="dxa" w:w="120"/>
              <w:bottom w:type="dxa" w:w="80"/>
              <w:right w:type="dxa" w:w="120"/>
            </w:tcMar>
            <w:vAlign w:val="center"/>
          </w:tcPr>
          <w:p>
            <w:pPr>
              <w:jc w:val="center"/>
            </w:pPr>
            <w:r>
              <w:rPr>
                <w:rFonts w:ascii="Arial" w:cs="Arial" w:eastAsia="Arial" w:hAnsi="Arial"/>
                <w:b/>
                <w:bCs/>
                <w:color w:val="B71C1C"/>
                <w:sz w:val="19"/>
                <w:szCs w:val="19"/>
              </w:rPr>
              <w:t xml:space="preserve">~36–40</w:t>
            </w:r>
          </w:p>
        </w:tc>
        <w:tc>
          <w:tcPr>
            <w:tcW w:type="dxa" w:w="4760"/>
            <w:tcBorders>
              <w:top w:val="single" w:color="CCCCCC" w:sz="1"/>
              <w:left w:val="single" w:color="CCCCCC" w:sz="1"/>
              <w:bottom w:val="single" w:color="CCCCCC" w:sz="1"/>
              <w:right w:val="single" w:color="CCCCCC" w:sz="1"/>
            </w:tcBorders>
            <w:shd w:fill="F0F4F4" w:val="clear"/>
            <w:tcMar>
              <w:top w:type="dxa" w:w="80"/>
              <w:left w:type="dxa" w:w="120"/>
              <w:bottom w:type="dxa" w:w="80"/>
              <w:right w:type="dxa" w:w="120"/>
            </w:tcMar>
            <w:vAlign w:val="center"/>
          </w:tcPr>
          <w:p>
            <w:pPr>
              <w:jc w:val="left"/>
            </w:pPr>
            <w:r>
              <w:rPr>
                <w:rFonts w:ascii="Arial" w:cs="Arial" w:eastAsia="Arial" w:hAnsi="Arial"/>
                <w:b w:val="false"/>
                <w:bCs w:val="false"/>
                <w:color w:val="1A1A2E"/>
                <w:sz w:val="19"/>
                <w:szCs w:val="19"/>
              </w:rPr>
              <w:t xml:space="preserve">More than half of all unsafe abortions occur here</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1A1A2E"/>
                <w:sz w:val="19"/>
                <w:szCs w:val="19"/>
              </w:rPr>
              <w:t xml:space="preserve">Europe</w:t>
            </w:r>
          </w:p>
        </w:tc>
        <w:tc>
          <w:tcPr>
            <w:tcW w:type="dxa" w:w="2000"/>
            <w:tcBorders>
              <w:top w:val="single" w:color="CCCCCC" w:sz="1"/>
              <w:left w:val="single" w:color="CCCCCC" w:sz="1"/>
              <w:bottom w:val="single" w:color="CCCCCC" w:sz="1"/>
              <w:right w:val="single" w:color="CCCCCC" w:sz="1"/>
            </w:tcBorders>
            <w:shd w:fill="FFF0F0" w:val="clear"/>
            <w:tcMar>
              <w:top w:type="dxa" w:w="80"/>
              <w:left w:type="dxa" w:w="120"/>
              <w:bottom w:type="dxa" w:w="80"/>
              <w:right w:type="dxa" w:w="120"/>
            </w:tcMar>
            <w:vAlign w:val="center"/>
          </w:tcPr>
          <w:p>
            <w:pPr>
              <w:jc w:val="center"/>
            </w:pPr>
            <w:r>
              <w:rPr>
                <w:rFonts w:ascii="Arial" w:cs="Arial" w:eastAsia="Arial" w:hAnsi="Arial"/>
                <w:b/>
                <w:bCs/>
                <w:color w:val="B71C1C"/>
                <w:sz w:val="19"/>
                <w:szCs w:val="19"/>
              </w:rPr>
              <w:t xml:space="preserve">~17</w:t>
            </w:r>
          </w:p>
        </w:tc>
        <w:tc>
          <w:tcPr>
            <w:tcW w:type="dxa" w:w="4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1A1A2E"/>
                <w:sz w:val="19"/>
                <w:szCs w:val="19"/>
              </w:rPr>
              <w:t xml:space="preserve">Lowest rate; safe and legal access; comprehensive sex education and contraception</w:t>
            </w:r>
          </w:p>
        </w:tc>
      </w:tr>
      <w:tr>
        <w:tc>
          <w:tcPr>
            <w:tcW w:type="dxa" w:w="2600"/>
            <w:tcBorders>
              <w:top w:val="single" w:color="CCCCCC" w:sz="1"/>
              <w:left w:val="single" w:color="CCCCCC" w:sz="1"/>
              <w:bottom w:val="single" w:color="CCCCCC" w:sz="1"/>
              <w:right w:val="single" w:color="CCCCCC" w:sz="1"/>
            </w:tcBorders>
            <w:shd w:fill="F0F4F4" w:val="clear"/>
            <w:tcMar>
              <w:top w:type="dxa" w:w="80"/>
              <w:left w:type="dxa" w:w="120"/>
              <w:bottom w:type="dxa" w:w="80"/>
              <w:right w:type="dxa" w:w="120"/>
            </w:tcMar>
            <w:vAlign w:val="center"/>
          </w:tcPr>
          <w:p>
            <w:pPr>
              <w:jc w:val="left"/>
            </w:pPr>
            <w:r>
              <w:rPr>
                <w:rFonts w:ascii="Arial" w:cs="Arial" w:eastAsia="Arial" w:hAnsi="Arial"/>
                <w:b w:val="false"/>
                <w:bCs w:val="false"/>
                <w:color w:val="1A1A2E"/>
                <w:sz w:val="19"/>
                <w:szCs w:val="19"/>
              </w:rPr>
              <w:t xml:space="preserve">North America</w:t>
            </w:r>
          </w:p>
        </w:tc>
        <w:tc>
          <w:tcPr>
            <w:tcW w:type="dxa" w:w="2000"/>
            <w:tcBorders>
              <w:top w:val="single" w:color="CCCCCC" w:sz="1"/>
              <w:left w:val="single" w:color="CCCCCC" w:sz="1"/>
              <w:bottom w:val="single" w:color="CCCCCC" w:sz="1"/>
              <w:right w:val="single" w:color="CCCCCC" w:sz="1"/>
            </w:tcBorders>
            <w:shd w:fill="FFF0F0" w:val="clear"/>
            <w:tcMar>
              <w:top w:type="dxa" w:w="80"/>
              <w:left w:type="dxa" w:w="120"/>
              <w:bottom w:type="dxa" w:w="80"/>
              <w:right w:type="dxa" w:w="120"/>
            </w:tcMar>
            <w:vAlign w:val="center"/>
          </w:tcPr>
          <w:p>
            <w:pPr>
              <w:jc w:val="center"/>
            </w:pPr>
            <w:r>
              <w:rPr>
                <w:rFonts w:ascii="Arial" w:cs="Arial" w:eastAsia="Arial" w:hAnsi="Arial"/>
                <w:b/>
                <w:bCs/>
                <w:color w:val="B71C1C"/>
                <w:sz w:val="19"/>
                <w:szCs w:val="19"/>
              </w:rPr>
              <w:t xml:space="preserve">~17–20</w:t>
            </w:r>
          </w:p>
        </w:tc>
        <w:tc>
          <w:tcPr>
            <w:tcW w:type="dxa" w:w="4760"/>
            <w:tcBorders>
              <w:top w:val="single" w:color="CCCCCC" w:sz="1"/>
              <w:left w:val="single" w:color="CCCCCC" w:sz="1"/>
              <w:bottom w:val="single" w:color="CCCCCC" w:sz="1"/>
              <w:right w:val="single" w:color="CCCCCC" w:sz="1"/>
            </w:tcBorders>
            <w:shd w:fill="F0F4F4" w:val="clear"/>
            <w:tcMar>
              <w:top w:type="dxa" w:w="80"/>
              <w:left w:type="dxa" w:w="120"/>
              <w:bottom w:type="dxa" w:w="80"/>
              <w:right w:type="dxa" w:w="120"/>
            </w:tcMar>
            <w:vAlign w:val="center"/>
          </w:tcPr>
          <w:p>
            <w:pPr>
              <w:jc w:val="left"/>
            </w:pPr>
            <w:r>
              <w:rPr>
                <w:rFonts w:ascii="Arial" w:cs="Arial" w:eastAsia="Arial" w:hAnsi="Arial"/>
                <w:b w:val="false"/>
                <w:bCs w:val="false"/>
                <w:color w:val="1A1A2E"/>
                <w:sz w:val="19"/>
                <w:szCs w:val="19"/>
              </w:rPr>
              <w:t xml:space="preserve">US rate: 15.9/1,000 in 2023 (Guttmacher); significant geographic variation post-Roe</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1A1A2E"/>
                <w:sz w:val="19"/>
                <w:szCs w:val="19"/>
              </w:rPr>
              <w:t xml:space="preserve">Global average</w:t>
            </w:r>
          </w:p>
        </w:tc>
        <w:tc>
          <w:tcPr>
            <w:tcW w:type="dxa" w:w="2000"/>
            <w:tcBorders>
              <w:top w:val="single" w:color="CCCCCC" w:sz="1"/>
              <w:left w:val="single" w:color="CCCCCC" w:sz="1"/>
              <w:bottom w:val="single" w:color="CCCCCC" w:sz="1"/>
              <w:right w:val="single" w:color="CCCCCC" w:sz="1"/>
            </w:tcBorders>
            <w:shd w:fill="FFF0F0" w:val="clear"/>
            <w:tcMar>
              <w:top w:type="dxa" w:w="80"/>
              <w:left w:type="dxa" w:w="120"/>
              <w:bottom w:type="dxa" w:w="80"/>
              <w:right w:type="dxa" w:w="120"/>
            </w:tcMar>
            <w:vAlign w:val="center"/>
          </w:tcPr>
          <w:p>
            <w:pPr>
              <w:jc w:val="center"/>
            </w:pPr>
            <w:r>
              <w:rPr>
                <w:rFonts w:ascii="Arial" w:cs="Arial" w:eastAsia="Arial" w:hAnsi="Arial"/>
                <w:b/>
                <w:bCs/>
                <w:color w:val="B71C1C"/>
                <w:sz w:val="19"/>
                <w:szCs w:val="19"/>
              </w:rPr>
              <w:t xml:space="preserve">~36–44</w:t>
            </w:r>
          </w:p>
        </w:tc>
        <w:tc>
          <w:tcPr>
            <w:tcW w:type="dxa" w:w="4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1A1A2E"/>
                <w:sz w:val="19"/>
                <w:szCs w:val="19"/>
              </w:rPr>
              <w:t xml:space="preserve">Per 1,000 women aged 15–49 per year (2015-2019 estimates, 80% UI: 67–82M)</w:t>
            </w:r>
          </w:p>
        </w:tc>
      </w:tr>
    </w:tbl>
    <w:p>
      <w:pPr>
        <w:spacing w:before="60" w:after="60"/>
      </w:pPr>
      <w:r>
        <w:t xml:space="preserve"/>
      </w:r>
    </w:p>
    <w:p>
      <w:pPr>
        <w:pStyle w:val="Heading2"/>
        <w:spacing w:before="280" w:after="120"/>
      </w:pPr>
      <w:r>
        <w:rPr>
          <w:rFonts w:ascii="Arial" w:cs="Arial" w:eastAsia="Arial" w:hAnsi="Arial"/>
          <w:b/>
          <w:bCs/>
          <w:color w:val="1A1A2E"/>
          <w:sz w:val="26"/>
          <w:szCs w:val="26"/>
        </w:rPr>
        <w:t xml:space="preserve">The Key Structural Finding</w:t>
      </w:r>
    </w:p>
    <w:p>
      <w:pPr>
        <w:spacing w:before="80" w:after="120"/>
        <w:jc w:val="both"/>
      </w:pPr>
      <w:r>
        <w:rPr>
          <w:rFonts w:ascii="Arial" w:cs="Arial" w:eastAsia="Arial" w:hAnsi="Arial"/>
          <w:color w:val="1A1A2E"/>
          <w:sz w:val="22"/>
          <w:szCs w:val="22"/>
        </w:rPr>
        <w:t xml:space="preserve">Despite changing legal restrictions on abortion, the proportion of unintended pregnancies ending in abortion is typically similar in countries with restrictive and more permissive laws. This means that restricting abortion does not reduce its incidence — it only increases the proportion that are unsafe and therefore potentially fatal. The 68,000 maternal deaths from unsafe abortion are a direct product of structural choices to deny access to safe care.</w:t>
      </w:r>
    </w:p>
    <w:p>
      <w:pPr>
        <w:spacing w:before="80" w:after="120"/>
        <w:jc w:val="both"/>
      </w:pPr>
      <w:r>
        <w:rPr>
          <w:rFonts w:ascii="Arial" w:cs="Arial" w:eastAsia="Arial" w:hAnsi="Arial"/>
          <w:color w:val="1A1A2E"/>
          <w:sz w:val="22"/>
          <w:szCs w:val="22"/>
        </w:rPr>
        <w:t xml:space="preserve">The Holoviceose analysis focuses on the upstream condition: the 121 million unintended pregnancies per year that are themselves the product of poverty, lack of education, denial of contraceptive access, and systemic inequality — all hallmarks of the virtue-destroying system Mattos describes. The world produces more than enough resources to prevent every unintended pregnancy; the distribution of those resources is a political decision.</w:t>
      </w:r>
    </w:p>
    <w:p>
      <w:pPr>
        <w:spacing w:before="60" w:after="60"/>
      </w:pPr>
      <w:r>
        <w:t xml:space="preserve"/>
      </w:r>
    </w:p>
    <w:p>
      <w:pPr>
        <w:pStyle w:val="Heading1"/>
        <w:pBdr>
          <w:bottom w:val="single" w:color="B71C1C" w:sz="4" w:space="6"/>
        </w:pBdr>
        <w:spacing w:before="360" w:after="180"/>
      </w:pPr>
      <w:r>
        <w:rPr>
          <w:rFonts w:ascii="Arial" w:cs="Arial" w:eastAsia="Arial" w:hAnsi="Arial"/>
          <w:b/>
          <w:bCs/>
          <w:color w:val="B71C1C"/>
          <w:sz w:val="32"/>
          <w:szCs w:val="32"/>
        </w:rPr>
        <w:t xml:space="preserve">VI. The Holoviceose Synthesis — An Invisible Holocaust</w:t>
      </w:r>
    </w:p>
    <w:p>
      <w:pPr>
        <w:spacing w:before="80" w:after="120"/>
        <w:jc w:val="both"/>
      </w:pPr>
      <w:r>
        <w:rPr>
          <w:rFonts w:ascii="Arial" w:cs="Arial" w:eastAsia="Arial" w:hAnsi="Arial"/>
          <w:color w:val="1A1A2E"/>
          <w:sz w:val="22"/>
          <w:szCs w:val="22"/>
        </w:rPr>
        <w:t xml:space="preserve">When the five categories are aggregated, the annual death toll from structurally-produced, preventable, politically-invisible causes exceeds 85 million — a figure that dwarfs every conventional war, famine, or epidemic in human history. Yet it generates no Nuremberg trial, no memorial, no political reckoning.</w:t>
      </w:r>
    </w:p>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2000"/>
        <w:gridCol w:w="3760"/>
      </w:tblGrid>
      <w:tr>
        <w:trPr>
          <w:tblHeader/>
        </w:trPr>
        <w:tc>
          <w:tcPr>
            <w:tcW w:type="dxa" w:w="3600"/>
            <w:tcBorders>
              <w:top w:val="single" w:color="CCCCCC" w:sz="1"/>
              <w:left w:val="single" w:color="CCCCCC" w:sz="1"/>
              <w:bottom w:val="single" w:color="CCCCCC" w:sz="1"/>
              <w:right w:val="single" w:color="CCCCCC" w:sz="1"/>
            </w:tcBorders>
            <w:shd w:fill="1A1A2E" w:val="clear"/>
            <w:tcMar>
              <w:top w:type="dxa" w:w="100"/>
              <w:left w:type="dxa" w:w="150"/>
              <w:bottom w:type="dxa" w:w="100"/>
              <w:right w:type="dxa" w:w="150"/>
            </w:tcMar>
          </w:tcPr>
          <w:p>
            <w:r>
              <w:rPr>
                <w:rFonts w:ascii="Arial" w:cs="Arial" w:eastAsia="Arial" w:hAnsi="Arial"/>
                <w:b/>
                <w:bCs/>
                <w:color w:val="FFFFFF"/>
                <w:sz w:val="20"/>
                <w:szCs w:val="20"/>
              </w:rPr>
              <w:t xml:space="preserve">Category</w:t>
            </w:r>
          </w:p>
        </w:tc>
        <w:tc>
          <w:tcPr>
            <w:tcW w:type="dxa" w:w="2000"/>
            <w:tcBorders>
              <w:top w:val="single" w:color="CCCCCC" w:sz="1"/>
              <w:left w:val="single" w:color="CCCCCC" w:sz="1"/>
              <w:bottom w:val="single" w:color="CCCCCC" w:sz="1"/>
              <w:right w:val="single" w:color="CCCCCC" w:sz="1"/>
            </w:tcBorders>
            <w:shd w:fill="1A1A2E" w:val="clear"/>
            <w:tcMar>
              <w:top w:type="dxa" w:w="100"/>
              <w:left w:type="dxa" w:w="150"/>
              <w:bottom w:type="dxa" w:w="100"/>
              <w:right w:type="dxa" w:w="150"/>
            </w:tcMar>
          </w:tcPr>
          <w:p>
            <w:pPr>
              <w:jc w:val="center"/>
            </w:pPr>
            <w:r>
              <w:rPr>
                <w:rFonts w:ascii="Arial" w:cs="Arial" w:eastAsia="Arial" w:hAnsi="Arial"/>
                <w:b/>
                <w:bCs/>
                <w:color w:val="FFFFFF"/>
                <w:sz w:val="20"/>
                <w:szCs w:val="20"/>
              </w:rPr>
              <w:t xml:space="preserve">Annual Total</w:t>
            </w:r>
          </w:p>
        </w:tc>
        <w:tc>
          <w:tcPr>
            <w:tcW w:type="dxa" w:w="3760"/>
            <w:tcBorders>
              <w:top w:val="single" w:color="CCCCCC" w:sz="1"/>
              <w:left w:val="single" w:color="CCCCCC" w:sz="1"/>
              <w:bottom w:val="single" w:color="CCCCCC" w:sz="1"/>
              <w:right w:val="single" w:color="CCCCCC" w:sz="1"/>
            </w:tcBorders>
            <w:shd w:fill="1A1A2E" w:val="clear"/>
            <w:tcMar>
              <w:top w:type="dxa" w:w="100"/>
              <w:left w:type="dxa" w:w="150"/>
              <w:bottom w:type="dxa" w:w="100"/>
              <w:right w:type="dxa" w:w="150"/>
            </w:tcMar>
          </w:tcPr>
          <w:p>
            <w:r>
              <w:rPr>
                <w:rFonts w:ascii="Arial" w:cs="Arial" w:eastAsia="Arial" w:hAnsi="Arial"/>
                <w:b/>
                <w:bCs/>
                <w:color w:val="FFFFFF"/>
                <w:sz w:val="20"/>
                <w:szCs w:val="20"/>
              </w:rPr>
              <w:t xml:space="preserve">Preventability Assessment</w:t>
            </w:r>
          </w:p>
        </w:tc>
      </w:tr>
      <w:tr>
        <w:tc>
          <w:tcPr>
            <w:tcW w:type="dxa" w:w="3600"/>
            <w:tcBorders>
              <w:top w:val="single" w:color="CCCCCC" w:sz="1"/>
              <w:left w:val="single" w:color="CCCCCC" w:sz="1"/>
              <w:bottom w:val="single" w:color="CCCCCC" w:sz="1"/>
              <w:right w:val="single" w:color="CCCCCC" w:sz="1"/>
            </w:tcBorders>
            <w:shd w:fill="F0F4F4" w:val="clear"/>
            <w:tcMar>
              <w:top w:type="dxa" w:w="80"/>
              <w:left w:type="dxa" w:w="120"/>
              <w:bottom w:type="dxa" w:w="80"/>
              <w:right w:type="dxa" w:w="120"/>
            </w:tcMar>
          </w:tcPr>
          <w:p>
            <w:r>
              <w:rPr>
                <w:rFonts w:ascii="Arial" w:cs="Arial" w:eastAsia="Arial" w:hAnsi="Arial"/>
                <w:b/>
                <w:bCs/>
                <w:color w:val="1A1A2E"/>
                <w:sz w:val="20"/>
                <w:szCs w:val="20"/>
              </w:rPr>
              <w:t xml:space="preserve">Road Traffic Deaths</w:t>
            </w:r>
          </w:p>
        </w:tc>
        <w:tc>
          <w:tcPr>
            <w:tcW w:type="dxa" w:w="2000"/>
            <w:tcBorders>
              <w:top w:val="single" w:color="CCCCCC" w:sz="1"/>
              <w:left w:val="single" w:color="CCCCCC" w:sz="1"/>
              <w:bottom w:val="single" w:color="CCCCCC" w:sz="1"/>
              <w:right w:val="single" w:color="CCCCCC" w:sz="1"/>
            </w:tcBorders>
            <w:shd w:fill="FFF0F0" w:val="clear"/>
            <w:tcMar>
              <w:top w:type="dxa" w:w="80"/>
              <w:left w:type="dxa" w:w="120"/>
              <w:bottom w:type="dxa" w:w="80"/>
              <w:right w:type="dxa" w:w="120"/>
            </w:tcMar>
            <w:vAlign w:val="center"/>
          </w:tcPr>
          <w:p>
            <w:pPr>
              <w:jc w:val="center"/>
            </w:pPr>
            <w:r>
              <w:rPr>
                <w:rFonts w:ascii="Arial" w:cs="Arial" w:eastAsia="Arial" w:hAnsi="Arial"/>
                <w:b/>
                <w:bCs/>
                <w:color w:val="B71C1C"/>
                <w:sz w:val="19"/>
                <w:szCs w:val="19"/>
              </w:rPr>
              <w:t xml:space="preserve">~1.19 million</w:t>
            </w:r>
          </w:p>
        </w:tc>
        <w:tc>
          <w:tcPr>
            <w:tcW w:type="dxa" w:w="3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444444"/>
                <w:sz w:val="19"/>
                <w:szCs w:val="19"/>
              </w:rPr>
              <w:t xml:space="preserve">Highly preventable — proven safe system approaches reduce rates by 77%+ in countries that implement them</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1A1A2E"/>
                <w:sz w:val="20"/>
                <w:szCs w:val="20"/>
              </w:rPr>
              <w:t xml:space="preserve">Intentional Homicide (incl. robbery)</w:t>
            </w:r>
          </w:p>
        </w:tc>
        <w:tc>
          <w:tcPr>
            <w:tcW w:type="dxa" w:w="2000"/>
            <w:tcBorders>
              <w:top w:val="single" w:color="CCCCCC" w:sz="1"/>
              <w:left w:val="single" w:color="CCCCCC" w:sz="1"/>
              <w:bottom w:val="single" w:color="CCCCCC" w:sz="1"/>
              <w:right w:val="single" w:color="CCCCCC" w:sz="1"/>
            </w:tcBorders>
            <w:shd w:fill="FFF0F0" w:val="clear"/>
            <w:tcMar>
              <w:top w:type="dxa" w:w="80"/>
              <w:left w:type="dxa" w:w="120"/>
              <w:bottom w:type="dxa" w:w="80"/>
              <w:right w:type="dxa" w:w="120"/>
            </w:tcMar>
            <w:vAlign w:val="center"/>
          </w:tcPr>
          <w:p>
            <w:pPr>
              <w:jc w:val="center"/>
            </w:pPr>
            <w:r>
              <w:rPr>
                <w:rFonts w:ascii="Arial" w:cs="Arial" w:eastAsia="Arial" w:hAnsi="Arial"/>
                <w:b/>
                <w:bCs/>
                <w:color w:val="B71C1C"/>
                <w:sz w:val="19"/>
                <w:szCs w:val="19"/>
              </w:rPr>
              <w:t xml:space="preserve">~430,000–500,000</w:t>
            </w:r>
          </w:p>
        </w:tc>
        <w:tc>
          <w:tcPr>
            <w:tcW w:type="dxa" w:w="3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444444"/>
                <w:sz w:val="19"/>
                <w:szCs w:val="19"/>
              </w:rPr>
              <w:t xml:space="preserve">Largely preventable — organized crime thrives in structural inequality and institutional weakness</w:t>
            </w:r>
          </w:p>
        </w:tc>
      </w:tr>
      <w:tr>
        <w:tc>
          <w:tcPr>
            <w:tcW w:type="dxa" w:w="3600"/>
            <w:tcBorders>
              <w:top w:val="single" w:color="CCCCCC" w:sz="1"/>
              <w:left w:val="single" w:color="CCCCCC" w:sz="1"/>
              <w:bottom w:val="single" w:color="CCCCCC" w:sz="1"/>
              <w:right w:val="single" w:color="CCCCCC" w:sz="1"/>
            </w:tcBorders>
            <w:shd w:fill="F0F4F4" w:val="clear"/>
            <w:tcMar>
              <w:top w:type="dxa" w:w="80"/>
              <w:left w:type="dxa" w:w="120"/>
              <w:bottom w:type="dxa" w:w="80"/>
              <w:right w:type="dxa" w:w="120"/>
            </w:tcMar>
          </w:tcPr>
          <w:p>
            <w:r>
              <w:rPr>
                <w:rFonts w:ascii="Arial" w:cs="Arial" w:eastAsia="Arial" w:hAnsi="Arial"/>
                <w:b/>
                <w:bCs/>
                <w:color w:val="1A1A2E"/>
                <w:sz w:val="20"/>
                <w:szCs w:val="20"/>
              </w:rPr>
              <w:t xml:space="preserve">Preventable Child Deaths (under-5)</w:t>
            </w:r>
          </w:p>
        </w:tc>
        <w:tc>
          <w:tcPr>
            <w:tcW w:type="dxa" w:w="2000"/>
            <w:tcBorders>
              <w:top w:val="single" w:color="CCCCCC" w:sz="1"/>
              <w:left w:val="single" w:color="CCCCCC" w:sz="1"/>
              <w:bottom w:val="single" w:color="CCCCCC" w:sz="1"/>
              <w:right w:val="single" w:color="CCCCCC" w:sz="1"/>
            </w:tcBorders>
            <w:shd w:fill="FFF0F0" w:val="clear"/>
            <w:tcMar>
              <w:top w:type="dxa" w:w="80"/>
              <w:left w:type="dxa" w:w="120"/>
              <w:bottom w:type="dxa" w:w="80"/>
              <w:right w:type="dxa" w:w="120"/>
            </w:tcMar>
            <w:vAlign w:val="center"/>
          </w:tcPr>
          <w:p>
            <w:pPr>
              <w:jc w:val="center"/>
            </w:pPr>
            <w:r>
              <w:rPr>
                <w:rFonts w:ascii="Arial" w:cs="Arial" w:eastAsia="Arial" w:hAnsi="Arial"/>
                <w:b/>
                <w:bCs/>
                <w:color w:val="B71C1C"/>
                <w:sz w:val="19"/>
                <w:szCs w:val="19"/>
              </w:rPr>
              <w:t xml:space="preserve">~4.9 million</w:t>
            </w:r>
          </w:p>
        </w:tc>
        <w:tc>
          <w:tcPr>
            <w:tcW w:type="dxa" w:w="3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444444"/>
                <w:sz w:val="19"/>
                <w:szCs w:val="19"/>
              </w:rPr>
              <w:t xml:space="preserve">Overwhelmingly preventable — 'proven, low-cost interventions' confirmed by WHO/UNICEF 2026</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1A1A2E"/>
                <w:sz w:val="20"/>
                <w:szCs w:val="20"/>
              </w:rPr>
              <w:t xml:space="preserve">Hunger &amp; Malnutrition Deaths</w:t>
            </w:r>
          </w:p>
        </w:tc>
        <w:tc>
          <w:tcPr>
            <w:tcW w:type="dxa" w:w="2000"/>
            <w:tcBorders>
              <w:top w:val="single" w:color="CCCCCC" w:sz="1"/>
              <w:left w:val="single" w:color="CCCCCC" w:sz="1"/>
              <w:bottom w:val="single" w:color="CCCCCC" w:sz="1"/>
              <w:right w:val="single" w:color="CCCCCC" w:sz="1"/>
            </w:tcBorders>
            <w:shd w:fill="FFF0F0" w:val="clear"/>
            <w:tcMar>
              <w:top w:type="dxa" w:w="80"/>
              <w:left w:type="dxa" w:w="120"/>
              <w:bottom w:type="dxa" w:w="80"/>
              <w:right w:type="dxa" w:w="120"/>
            </w:tcMar>
            <w:vAlign w:val="center"/>
          </w:tcPr>
          <w:p>
            <w:pPr>
              <w:jc w:val="center"/>
            </w:pPr>
            <w:r>
              <w:rPr>
                <w:rFonts w:ascii="Arial" w:cs="Arial" w:eastAsia="Arial" w:hAnsi="Arial"/>
                <w:b/>
                <w:bCs/>
                <w:color w:val="B71C1C"/>
                <w:sz w:val="19"/>
                <w:szCs w:val="19"/>
              </w:rPr>
              <w:t xml:space="preserve">~9 million</w:t>
            </w:r>
          </w:p>
        </w:tc>
        <w:tc>
          <w:tcPr>
            <w:tcW w:type="dxa" w:w="3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444444"/>
                <w:sz w:val="19"/>
                <w:szCs w:val="19"/>
              </w:rPr>
              <w:t xml:space="preserve">Entirely preventable — the world produces enough food to feed all 8.2 billion people</w:t>
            </w:r>
          </w:p>
        </w:tc>
      </w:tr>
      <w:tr>
        <w:tc>
          <w:tcPr>
            <w:tcW w:type="dxa" w:w="3600"/>
            <w:tcBorders>
              <w:top w:val="single" w:color="CCCCCC" w:sz="1"/>
              <w:left w:val="single" w:color="CCCCCC" w:sz="1"/>
              <w:bottom w:val="single" w:color="CCCCCC" w:sz="1"/>
              <w:right w:val="single" w:color="CCCCCC" w:sz="1"/>
            </w:tcBorders>
            <w:shd w:fill="F0F4F4" w:val="clear"/>
            <w:tcMar>
              <w:top w:type="dxa" w:w="80"/>
              <w:left w:type="dxa" w:w="120"/>
              <w:bottom w:type="dxa" w:w="80"/>
              <w:right w:type="dxa" w:w="120"/>
            </w:tcMar>
          </w:tcPr>
          <w:p>
            <w:r>
              <w:rPr>
                <w:rFonts w:ascii="Arial" w:cs="Arial" w:eastAsia="Arial" w:hAnsi="Arial"/>
                <w:b/>
                <w:bCs/>
                <w:color w:val="1A1A2E"/>
                <w:sz w:val="20"/>
                <w:szCs w:val="20"/>
              </w:rPr>
              <w:t xml:space="preserve">Deaths from Unsafe Abortion</w:t>
            </w:r>
          </w:p>
        </w:tc>
        <w:tc>
          <w:tcPr>
            <w:tcW w:type="dxa" w:w="2000"/>
            <w:tcBorders>
              <w:top w:val="single" w:color="CCCCCC" w:sz="1"/>
              <w:left w:val="single" w:color="CCCCCC" w:sz="1"/>
              <w:bottom w:val="single" w:color="CCCCCC" w:sz="1"/>
              <w:right w:val="single" w:color="CCCCCC" w:sz="1"/>
            </w:tcBorders>
            <w:shd w:fill="FFF0F0" w:val="clear"/>
            <w:tcMar>
              <w:top w:type="dxa" w:w="80"/>
              <w:left w:type="dxa" w:w="120"/>
              <w:bottom w:type="dxa" w:w="80"/>
              <w:right w:type="dxa" w:w="120"/>
            </w:tcMar>
            <w:vAlign w:val="center"/>
          </w:tcPr>
          <w:p>
            <w:pPr>
              <w:jc w:val="center"/>
            </w:pPr>
            <w:r>
              <w:rPr>
                <w:rFonts w:ascii="Arial" w:cs="Arial" w:eastAsia="Arial" w:hAnsi="Arial"/>
                <w:b/>
                <w:bCs/>
                <w:color w:val="B71C1C"/>
                <w:sz w:val="19"/>
                <w:szCs w:val="19"/>
              </w:rPr>
              <w:t xml:space="preserve">~68,000</w:t>
            </w:r>
          </w:p>
        </w:tc>
        <w:tc>
          <w:tcPr>
            <w:tcW w:type="dxa" w:w="3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444444"/>
                <w:sz w:val="19"/>
                <w:szCs w:val="19"/>
              </w:rPr>
              <w:t xml:space="preserve">Directly preventable — safe abortion access reduces mortality to near-zero</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1A1A2E"/>
                <w:sz w:val="20"/>
                <w:szCs w:val="20"/>
              </w:rPr>
              <w:t xml:space="preserve">Induced Abortions (structural upstream)</w:t>
            </w:r>
          </w:p>
        </w:tc>
        <w:tc>
          <w:tcPr>
            <w:tcW w:type="dxa" w:w="2000"/>
            <w:tcBorders>
              <w:top w:val="single" w:color="CCCCCC" w:sz="1"/>
              <w:left w:val="single" w:color="CCCCCC" w:sz="1"/>
              <w:bottom w:val="single" w:color="CCCCCC" w:sz="1"/>
              <w:right w:val="single" w:color="CCCCCC" w:sz="1"/>
            </w:tcBorders>
            <w:shd w:fill="FFF0F0" w:val="clear"/>
            <w:tcMar>
              <w:top w:type="dxa" w:w="80"/>
              <w:left w:type="dxa" w:w="120"/>
              <w:bottom w:type="dxa" w:w="80"/>
              <w:right w:type="dxa" w:w="120"/>
            </w:tcMar>
            <w:vAlign w:val="center"/>
          </w:tcPr>
          <w:p>
            <w:pPr>
              <w:jc w:val="center"/>
            </w:pPr>
            <w:r>
              <w:rPr>
                <w:rFonts w:ascii="Arial" w:cs="Arial" w:eastAsia="Arial" w:hAnsi="Arial"/>
                <w:b/>
                <w:bCs/>
                <w:color w:val="B71C1C"/>
                <w:sz w:val="19"/>
                <w:szCs w:val="19"/>
              </w:rPr>
              <w:t xml:space="preserve">~73 million</w:t>
            </w:r>
          </w:p>
        </w:tc>
        <w:tc>
          <w:tcPr>
            <w:tcW w:type="dxa" w:w="3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444444"/>
                <w:sz w:val="19"/>
                <w:szCs w:val="19"/>
              </w:rPr>
              <w:t xml:space="preserve">Structurally preventable — unintended pregnancies preventable with contraception and education</w:t>
            </w:r>
          </w:p>
        </w:tc>
      </w:tr>
    </w:tbl>
    <w:p>
      <w:pPr>
        <w:spacing w:before="60" w:after="60"/>
      </w:pPr>
      <w:r>
        <w:t xml:space="preserve"/>
      </w:r>
    </w:p>
    <w:p>
      <w:pPr>
        <w:pStyle w:val="Heading2"/>
        <w:spacing w:before="280" w:after="120"/>
      </w:pPr>
      <w:r>
        <w:rPr>
          <w:rFonts w:ascii="Arial" w:cs="Arial" w:eastAsia="Arial" w:hAnsi="Arial"/>
          <w:b/>
          <w:bCs/>
          <w:color w:val="1A1A2E"/>
          <w:sz w:val="26"/>
          <w:szCs w:val="26"/>
        </w:rPr>
        <w:t xml:space="preserve">The Three Structural Proofs of Holoviceose</w:t>
      </w:r>
    </w:p>
    <w:p>
      <w:pPr>
        <w:spacing w:before="60" w:after="60"/>
      </w:pPr>
      <w:r>
        <w:t xml:space="preserve"/>
      </w:r>
    </w:p>
    <w:p>
      <w:pPr>
        <w:spacing w:before="120" w:after="60"/>
      </w:pPr>
      <w:r>
        <w:rPr>
          <w:rFonts w:ascii="Arial" w:cs="Arial" w:eastAsia="Arial" w:hAnsi="Arial"/>
          <w:b/>
          <w:bCs/>
          <w:color w:val="B71C1C"/>
          <w:sz w:val="22"/>
          <w:szCs w:val="22"/>
        </w:rPr>
        <w:t xml:space="preserve">PROOF 1 — Diffusion renders the death toll invisible.</w:t>
      </w:r>
    </w:p>
    <w:p>
      <w:pPr>
        <w:spacing w:before="80" w:after="120"/>
        <w:jc w:val="both"/>
      </w:pPr>
      <w:r>
        <w:rPr>
          <w:rFonts w:ascii="Arial" w:cs="Arial" w:eastAsia="Arial" w:hAnsi="Arial"/>
          <w:color w:val="1A1A2E"/>
          <w:sz w:val="22"/>
          <w:szCs w:val="22"/>
        </w:rPr>
        <w:t xml:space="preserve">If all 1.19 million road deaths, 500,000 homicides, 4.9 million child deaths, and 9 million hunger deaths in a single year occurred in one location, it would be recognized as the largest genocide in human history. Distributed across 195 countries and categorized into separate statistical silos, they generate no equivalent political response. This is precisely the mechanism Mattos identifies: the lethal consequences of Holoviceose are 'rendered invisible by diffusion across ordinary social life.'</w:t>
      </w:r>
    </w:p>
    <w:p>
      <w:pPr>
        <w:spacing w:before="120" w:after="60"/>
      </w:pPr>
      <w:r>
        <w:rPr>
          <w:rFonts w:ascii="Arial" w:cs="Arial" w:eastAsia="Arial" w:hAnsi="Arial"/>
          <w:b/>
          <w:bCs/>
          <w:color w:val="B71C1C"/>
          <w:sz w:val="22"/>
          <w:szCs w:val="22"/>
        </w:rPr>
        <w:t xml:space="preserve">PROOF 2 — The resources to prevent these deaths exist but are not deployed.</w:t>
      </w:r>
    </w:p>
    <w:p>
      <w:pPr>
        <w:spacing w:before="80" w:after="120"/>
        <w:jc w:val="both"/>
      </w:pPr>
      <w:r>
        <w:rPr>
          <w:rFonts w:ascii="Arial" w:cs="Arial" w:eastAsia="Arial" w:hAnsi="Arial"/>
          <w:color w:val="1A1A2E"/>
          <w:sz w:val="22"/>
          <w:szCs w:val="22"/>
        </w:rPr>
        <w:t xml:space="preserve">The world produces enough food to feed all 8.2 billion people, yet 9 million die from hunger annually. Road safety technologies proven to reduce fatalities by 77% exist but are not mandated. Oral rehydration therapy for diarrhoea costs cents and is universally known, yet 1.6 million children still die from it. Vaccines, antibiotics, and obstetric care that prevent the majority of under-5 deaths are available. The deaths are not caused by the absence of solutions — they are caused by the political choice not to deploy them.</w:t>
      </w:r>
    </w:p>
    <w:p>
      <w:pPr>
        <w:spacing w:before="120" w:after="60"/>
      </w:pPr>
      <w:r>
        <w:rPr>
          <w:rFonts w:ascii="Arial" w:cs="Arial" w:eastAsia="Arial" w:hAnsi="Arial"/>
          <w:b/>
          <w:bCs/>
          <w:color w:val="B71C1C"/>
          <w:sz w:val="22"/>
          <w:szCs w:val="22"/>
        </w:rPr>
        <w:t xml:space="preserve">PROOF 3 — The geography of death follows the geography of power, not nature.</w:t>
      </w:r>
    </w:p>
    <w:p>
      <w:pPr>
        <w:spacing w:before="80" w:after="120"/>
        <w:jc w:val="both"/>
      </w:pPr>
      <w:r>
        <w:rPr>
          <w:rFonts w:ascii="Arial" w:cs="Arial" w:eastAsia="Arial" w:hAnsi="Arial"/>
          <w:color w:val="1A1A2E"/>
          <w:sz w:val="22"/>
          <w:szCs w:val="22"/>
        </w:rPr>
        <w:t xml:space="preserve">Low-income countries have 1% of the world's cars but 16% of road deaths. Sub-Saharan Africa has 58% of all child deaths with 15% of the world's population. Latin America — with less than 10% of global population — accounts for the highest homicide rates globally. The death toll concentrates precisely where institutional virtue has been most systematically destroyed: where state capacity is weakest, corruption highest, inequality deepest. This is not geography — it is the political economy of Holoviceose.</w:t>
      </w:r>
    </w:p>
    <w:p>
      <w:pPr>
        <w:spacing w:before="60" w:after="60"/>
      </w:pPr>
      <w:r>
        <w:t xml:space="preserve"/>
      </w:r>
    </w:p>
    <w:p>
      <w:pPr>
        <w:pStyle w:val="Heading1"/>
        <w:pBdr>
          <w:bottom w:val="single" w:color="B71C1C" w:sz="4" w:space="6"/>
        </w:pBdr>
        <w:spacing w:before="360" w:after="180"/>
      </w:pPr>
      <w:r>
        <w:rPr>
          <w:rFonts w:ascii="Arial" w:cs="Arial" w:eastAsia="Arial" w:hAnsi="Arial"/>
          <w:b/>
          <w:bCs/>
          <w:color w:val="B71C1C"/>
          <w:sz w:val="32"/>
          <w:szCs w:val="32"/>
        </w:rPr>
        <w:t xml:space="preserve">VII. Conclusions</w:t>
      </w:r>
    </w:p>
    <w:p>
      <w:pPr>
        <w:spacing w:before="80" w:after="120"/>
        <w:jc w:val="both"/>
      </w:pPr>
      <w:r>
        <w:rPr>
          <w:rFonts w:ascii="Arial" w:cs="Arial" w:eastAsia="Arial" w:hAnsi="Arial"/>
          <w:color w:val="1A1A2E"/>
          <w:sz w:val="22"/>
          <w:szCs w:val="22"/>
        </w:rPr>
        <w:t xml:space="preserve">The data assembled in this report constitute what Mattos called an 'empirical-intuitive proof' of the Holoviceose concept. The numbers are not speculation — they are the annual mortality reports of the WHO, UNICEF, UNODC, the World Bank, and The Lancet. What is original to Mattos is not the data, but the name: the identification that these disparate statistical categories, when seen together, describe a single systematic condition — the chronic, structural substitution of Virtues by vices as a technology of mass subjugation and population control.</w:t>
      </w:r>
    </w:p>
    <w:p>
      <w:pPr>
        <w:spacing w:before="60" w:after="60"/>
      </w:pPr>
      <w:r>
        <w:t xml:space="preserve"/>
      </w:r>
    </w:p>
    <w:p>
      <w:pPr>
        <w:pStyle w:val="ListParagraph"/>
        <w:numPr>
          <w:ilvl w:val="0"/>
          <w:numId w:val="2"/>
        </w:numPr>
        <w:spacing w:before="60" w:after="60"/>
      </w:pPr>
      <w:r>
        <w:rPr>
          <w:rFonts w:ascii="Arial" w:cs="Arial" w:eastAsia="Arial" w:hAnsi="Arial"/>
          <w:color w:val="1A1A2E"/>
          <w:sz w:val="22"/>
          <w:szCs w:val="22"/>
        </w:rPr>
        <w:t xml:space="preserve">The global annual death toll from these five structurally-produced, preventable categories exceeds 85 million lives.</w:t>
      </w:r>
    </w:p>
    <w:p>
      <w:pPr>
        <w:pStyle w:val="ListParagraph"/>
        <w:numPr>
          <w:ilvl w:val="0"/>
          <w:numId w:val="2"/>
        </w:numPr>
        <w:spacing w:before="60" w:after="60"/>
      </w:pPr>
      <w:r>
        <w:rPr>
          <w:rFonts w:ascii="Arial" w:cs="Arial" w:eastAsia="Arial" w:hAnsi="Arial"/>
          <w:color w:val="1A1A2E"/>
          <w:sz w:val="22"/>
          <w:szCs w:val="22"/>
        </w:rPr>
        <w:t xml:space="preserve">Every single category is confirmed by the world's leading health and security authorities to be largely or entirely preventable with existing knowledge and resources.</w:t>
      </w:r>
    </w:p>
    <w:p>
      <w:pPr>
        <w:pStyle w:val="ListParagraph"/>
        <w:numPr>
          <w:ilvl w:val="0"/>
          <w:numId w:val="2"/>
        </w:numPr>
        <w:spacing w:before="60" w:after="60"/>
      </w:pPr>
      <w:r>
        <w:rPr>
          <w:rFonts w:ascii="Arial" w:cs="Arial" w:eastAsia="Arial" w:hAnsi="Arial"/>
          <w:color w:val="1A1A2E"/>
          <w:sz w:val="22"/>
          <w:szCs w:val="22"/>
        </w:rPr>
        <w:t xml:space="preserve">The geographic concentration of death follows the geography of institutional failure and political vice — not natural geography or random chance.</w:t>
      </w:r>
    </w:p>
    <w:p>
      <w:pPr>
        <w:pStyle w:val="ListParagraph"/>
        <w:numPr>
          <w:ilvl w:val="0"/>
          <w:numId w:val="2"/>
        </w:numPr>
        <w:spacing w:before="60" w:after="60"/>
      </w:pPr>
      <w:r>
        <w:rPr>
          <w:rFonts w:ascii="Arial" w:cs="Arial" w:eastAsia="Arial" w:hAnsi="Arial"/>
          <w:color w:val="1A1A2E"/>
          <w:sz w:val="22"/>
          <w:szCs w:val="22"/>
        </w:rPr>
        <w:t xml:space="preserve">Global development assistance for health fell 27% in 2025, directly reversing child mortality gains — proof that Holoviceose is an active, ongoing political process, not a passive failure.</w:t>
      </w:r>
    </w:p>
    <w:p>
      <w:pPr>
        <w:pStyle w:val="ListParagraph"/>
        <w:numPr>
          <w:ilvl w:val="0"/>
          <w:numId w:val="2"/>
        </w:numPr>
        <w:spacing w:before="60" w:after="60"/>
      </w:pPr>
      <w:r>
        <w:rPr>
          <w:rFonts w:ascii="Arial" w:cs="Arial" w:eastAsia="Arial" w:hAnsi="Arial"/>
          <w:color w:val="1A1A2E"/>
          <w:sz w:val="22"/>
          <w:szCs w:val="22"/>
        </w:rPr>
        <w:t xml:space="preserve">No prior philosophical or political concept — not Gramsci, Foucault, Arendt, Galtung — combined all these elements (deliberate planning + co-functional good/evil + diffuse mass death + virtue-ontological grounding) into a single analytical framework. Holoviceose does.</w:t>
      </w:r>
    </w:p>
    <w:p>
      <w:pPr>
        <w:spacing w:before="60" w:after="60"/>
      </w:pPr>
      <w:r>
        <w:t xml:space="preserve"/>
      </w:r>
    </w:p>
    <w:p>
      <w:pPr>
        <w:pBdr>
          <w:top w:val="single" w:color="B71C1C" w:sz="6" w:space="8"/>
        </w:pBdr>
        <w:spacing w:before="240" w:after="80"/>
        <w:jc w:val="center"/>
      </w:pPr>
      <w:r>
        <w:rPr>
          <w:rFonts w:ascii="Arial" w:cs="Arial" w:eastAsia="Arial" w:hAnsi="Arial"/>
          <w:i/>
          <w:iCs/>
          <w:color w:val="B71C1C"/>
          <w:sz w:val="22"/>
          <w:szCs w:val="22"/>
        </w:rPr>
        <w:t xml:space="preserve">"A Holoviceose é o Holocausto sem campo, a morte sem algoz visível, o genocídio normalizado."</w:t>
      </w:r>
    </w:p>
    <w:p>
      <w:pPr>
        <w:spacing w:before="40" w:after="40"/>
        <w:jc w:val="center"/>
      </w:pPr>
      <w:r>
        <w:rPr>
          <w:rFonts w:ascii="Arial" w:cs="Arial" w:eastAsia="Arial" w:hAnsi="Arial"/>
          <w:color w:val="777777"/>
          <w:sz w:val="18"/>
          <w:szCs w:val="18"/>
        </w:rPr>
        <w:t xml:space="preserve">Concept: José Caetano de Mattos, Filosofia das Virtudes (2023) · Statistical Evidence Report: March 2026</w:t>
      </w:r>
    </w:p>
    <w:p>
      <w:pPr>
        <w:spacing w:before="60" w:after="60"/>
      </w:pPr>
      <w:r>
        <w:t xml:space="preserve"/>
      </w:r>
    </w:p>
    <w:p>
      <w:pPr>
        <w:pStyle w:val="Heading1"/>
        <w:pBdr>
          <w:bottom w:val="single" w:color="B71C1C" w:sz="4" w:space="6"/>
        </w:pBdr>
        <w:spacing w:before="360" w:after="180"/>
      </w:pPr>
      <w:r>
        <w:rPr>
          <w:rFonts w:ascii="Arial" w:cs="Arial" w:eastAsia="Arial" w:hAnsi="Arial"/>
          <w:b/>
          <w:bCs/>
          <w:color w:val="B71C1C"/>
          <w:sz w:val="32"/>
          <w:szCs w:val="32"/>
        </w:rPr>
        <w:t xml:space="preserve">VIII. Sources &amp; References</w:t>
      </w:r>
    </w:p>
    <w:p>
      <w:pPr>
        <w:pStyle w:val="Heading3"/>
        <w:spacing w:before="200" w:after="80"/>
      </w:pPr>
      <w:r>
        <w:rPr>
          <w:rFonts w:ascii="Arial" w:cs="Arial" w:eastAsia="Arial" w:hAnsi="Arial"/>
          <w:b/>
          <w:bCs/>
          <w:color w:val="8B6914"/>
          <w:sz w:val="22"/>
          <w:szCs w:val="22"/>
        </w:rPr>
        <w:t xml:space="preserve">Road Traffic</w:t>
      </w:r>
    </w:p>
    <w:p>
      <w:pPr>
        <w:spacing w:before="80" w:after="120"/>
        <w:jc w:val="both"/>
      </w:pPr>
      <w:r>
        <w:rPr>
          <w:rFonts w:ascii="Arial" w:cs="Arial" w:eastAsia="Arial" w:hAnsi="Arial"/>
          <w:color w:val="1A1A2E"/>
          <w:sz w:val="22"/>
          <w:szCs w:val="22"/>
        </w:rPr>
        <w:t xml:space="preserve">World Health Organization. Global Status Report on Road Safety 2023. Geneva: WHO, December 2023.</w:t>
      </w:r>
    </w:p>
    <w:p>
      <w:pPr>
        <w:spacing w:before="80" w:after="120"/>
        <w:jc w:val="both"/>
      </w:pPr>
      <w:r>
        <w:rPr>
          <w:rFonts w:ascii="Arial" w:cs="Arial" w:eastAsia="Arial" w:hAnsi="Arial"/>
          <w:color w:val="1A1A2E"/>
          <w:sz w:val="22"/>
          <w:szCs w:val="22"/>
        </w:rPr>
        <w:t xml:space="preserve">CDC / Global Road Safety. Road Traffic Crashes — Global Facts. Atlanta: CDC, 2025. https://www.cdc.gov/transportation-safety/global/</w:t>
      </w:r>
    </w:p>
    <w:p>
      <w:pPr>
        <w:spacing w:before="80" w:after="120"/>
        <w:jc w:val="both"/>
      </w:pPr>
      <w:r>
        <w:rPr>
          <w:rFonts w:ascii="Arial" w:cs="Arial" w:eastAsia="Arial" w:hAnsi="Arial"/>
          <w:color w:val="1A1A2E"/>
          <w:sz w:val="22"/>
          <w:szCs w:val="22"/>
        </w:rPr>
        <w:t xml:space="preserve">World Bank. A Decade of Saving Lives Through Road Safety Investments. Washington: World Bank, March 2024.</w:t>
      </w:r>
    </w:p>
    <w:p>
      <w:pPr>
        <w:spacing w:before="80" w:after="120"/>
        <w:jc w:val="both"/>
      </w:pPr>
      <w:r>
        <w:rPr>
          <w:rFonts w:ascii="Arial" w:cs="Arial" w:eastAsia="Arial" w:hAnsi="Arial"/>
          <w:color w:val="1A1A2E"/>
          <w:sz w:val="22"/>
          <w:szCs w:val="22"/>
        </w:rPr>
        <w:t xml:space="preserve">ITF/OECD. Road Safety Annual Report 2024. Paris: International Transport Forum, 2024.</w:t>
      </w:r>
    </w:p>
    <w:p>
      <w:pPr>
        <w:spacing w:before="80" w:after="120"/>
        <w:jc w:val="both"/>
      </w:pPr>
      <w:r>
        <w:rPr>
          <w:rFonts w:ascii="Arial" w:cs="Arial" w:eastAsia="Arial" w:hAnsi="Arial"/>
          <w:color w:val="1A1A2E"/>
          <w:sz w:val="22"/>
          <w:szCs w:val="22"/>
        </w:rPr>
        <w:t xml:space="preserve">Wikipedia / WHO. List of Countries by Traffic-Related Death Rate (WHO 2021 data). Updated March 2026.</w:t>
      </w:r>
    </w:p>
    <w:p>
      <w:pPr>
        <w:spacing w:before="80" w:after="120"/>
        <w:jc w:val="both"/>
      </w:pPr>
      <w:r>
        <w:rPr>
          <w:rFonts w:ascii="Arial" w:cs="Arial" w:eastAsia="Arial" w:hAnsi="Arial"/>
          <w:color w:val="1A1A2E"/>
          <w:sz w:val="22"/>
          <w:szCs w:val="22"/>
        </w:rPr>
        <w:t xml:space="preserve">National Safety Council (NSC). NSC Estimates Over 44,000 Traffic Deaths in 2024. Washington: NSC, 2025.</w:t>
      </w:r>
    </w:p>
    <w:p>
      <w:pPr>
        <w:spacing w:before="60" w:after="60"/>
      </w:pPr>
      <w:r>
        <w:t xml:space="preserve"/>
      </w:r>
    </w:p>
    <w:p>
      <w:pPr>
        <w:pStyle w:val="Heading3"/>
        <w:spacing w:before="200" w:after="80"/>
      </w:pPr>
      <w:r>
        <w:rPr>
          <w:rFonts w:ascii="Arial" w:cs="Arial" w:eastAsia="Arial" w:hAnsi="Arial"/>
          <w:b/>
          <w:bCs/>
          <w:color w:val="8B6914"/>
          <w:sz w:val="22"/>
          <w:szCs w:val="22"/>
        </w:rPr>
        <w:t xml:space="preserve">Homicide &amp; Robbery</w:t>
      </w:r>
    </w:p>
    <w:p>
      <w:pPr>
        <w:spacing w:before="80" w:after="120"/>
        <w:jc w:val="both"/>
      </w:pPr>
      <w:r>
        <w:rPr>
          <w:rFonts w:ascii="Arial" w:cs="Arial" w:eastAsia="Arial" w:hAnsi="Arial"/>
          <w:color w:val="1A1A2E"/>
          <w:sz w:val="22"/>
          <w:szCs w:val="22"/>
        </w:rPr>
        <w:t xml:space="preserve">UNODC. Global Study on Homicide 2023. Vienna: United Nations Office on Drugs and Crime, 2023.</w:t>
      </w:r>
    </w:p>
    <w:p>
      <w:pPr>
        <w:spacing w:before="80" w:after="120"/>
        <w:jc w:val="both"/>
      </w:pPr>
      <w:r>
        <w:rPr>
          <w:rFonts w:ascii="Arial" w:cs="Arial" w:eastAsia="Arial" w:hAnsi="Arial"/>
          <w:color w:val="1A1A2E"/>
          <w:sz w:val="22"/>
          <w:szCs w:val="22"/>
        </w:rPr>
        <w:t xml:space="preserve">UNODC. Global Study on Homicide 2023 — Latin America and the Caribbean. Vienna: UNODC, 2023.</w:t>
      </w:r>
    </w:p>
    <w:p>
      <w:pPr>
        <w:spacing w:before="80" w:after="120"/>
        <w:jc w:val="both"/>
      </w:pPr>
      <w:r>
        <w:rPr>
          <w:rFonts w:ascii="Arial" w:cs="Arial" w:eastAsia="Arial" w:hAnsi="Arial"/>
          <w:color w:val="1A1A2E"/>
          <w:sz w:val="22"/>
          <w:szCs w:val="22"/>
        </w:rPr>
        <w:t xml:space="preserve">UN DESA. Sustainable Development Goals Extended Report 2024 — Goal 16.1.1. New York: United Nations, 2024.</w:t>
      </w:r>
    </w:p>
    <w:p>
      <w:pPr>
        <w:spacing w:before="80" w:after="120"/>
        <w:jc w:val="both"/>
      </w:pPr>
      <w:r>
        <w:rPr>
          <w:rFonts w:ascii="Arial" w:cs="Arial" w:eastAsia="Arial" w:hAnsi="Arial"/>
          <w:color w:val="1A1A2E"/>
          <w:sz w:val="22"/>
          <w:szCs w:val="22"/>
        </w:rPr>
        <w:t xml:space="preserve">InSight Crime. 2024 Homicide Round-Up. Washington/Bogotá: InSight Crime, February 2025. https://insightcrime.org</w:t>
      </w:r>
    </w:p>
    <w:p>
      <w:pPr>
        <w:spacing w:before="80" w:after="120"/>
        <w:jc w:val="both"/>
      </w:pPr>
      <w:r>
        <w:rPr>
          <w:rFonts w:ascii="Arial" w:cs="Arial" w:eastAsia="Arial" w:hAnsi="Arial"/>
          <w:color w:val="1A1A2E"/>
          <w:sz w:val="22"/>
          <w:szCs w:val="22"/>
        </w:rPr>
        <w:t xml:space="preserve">PAHO/WHO. Homicide Mortality — Region of the Americas, 2000–2019. Washington: Pan American Health Organization, 2022.</w:t>
      </w:r>
    </w:p>
    <w:p>
      <w:pPr>
        <w:spacing w:before="80" w:after="120"/>
        <w:jc w:val="both"/>
      </w:pPr>
      <w:r>
        <w:rPr>
          <w:rFonts w:ascii="Arial" w:cs="Arial" w:eastAsia="Arial" w:hAnsi="Arial"/>
          <w:color w:val="1A1A2E"/>
          <w:sz w:val="22"/>
          <w:szCs w:val="22"/>
        </w:rPr>
        <w:t xml:space="preserve">World Bank. Intentional Homicides per 100,000 people (UNODC data). data.worldbank.org, 2025.</w:t>
      </w:r>
    </w:p>
    <w:p>
      <w:pPr>
        <w:spacing w:before="60" w:after="60"/>
      </w:pPr>
      <w:r>
        <w:t xml:space="preserve"/>
      </w:r>
    </w:p>
    <w:p>
      <w:pPr>
        <w:pStyle w:val="Heading3"/>
        <w:spacing w:before="200" w:after="80"/>
      </w:pPr>
      <w:r>
        <w:rPr>
          <w:rFonts w:ascii="Arial" w:cs="Arial" w:eastAsia="Arial" w:hAnsi="Arial"/>
          <w:b/>
          <w:bCs/>
          <w:color w:val="8B6914"/>
          <w:sz w:val="22"/>
          <w:szCs w:val="22"/>
        </w:rPr>
        <w:t xml:space="preserve">Child Mortality</w:t>
      </w:r>
    </w:p>
    <w:p>
      <w:pPr>
        <w:spacing w:before="80" w:after="120"/>
        <w:jc w:val="both"/>
      </w:pPr>
      <w:r>
        <w:rPr>
          <w:rFonts w:ascii="Arial" w:cs="Arial" w:eastAsia="Arial" w:hAnsi="Arial"/>
          <w:color w:val="1A1A2E"/>
          <w:sz w:val="22"/>
          <w:szCs w:val="22"/>
        </w:rPr>
        <w:t xml:space="preserve">UNICEF / WHO / World Bank / UN Population Division. Levels &amp; Trends in Child Mortality Report 2024. Geneva/New York, 18 March 2026. https://www.unicef.org and https://www.who.int</w:t>
      </w:r>
    </w:p>
    <w:p>
      <w:pPr>
        <w:spacing w:before="80" w:after="120"/>
        <w:jc w:val="both"/>
      </w:pPr>
      <w:r>
        <w:rPr>
          <w:rFonts w:ascii="Arial" w:cs="Arial" w:eastAsia="Arial" w:hAnsi="Arial"/>
          <w:color w:val="1A1A2E"/>
          <w:sz w:val="22"/>
          <w:szCs w:val="22"/>
        </w:rPr>
        <w:t xml:space="preserve">WHO. Progress in reducing child deaths slows as 4.9 million children die before age five. WHO News Release, 18 March 2026.</w:t>
      </w:r>
    </w:p>
    <w:p>
      <w:pPr>
        <w:spacing w:before="80" w:after="120"/>
        <w:jc w:val="both"/>
      </w:pPr>
      <w:r>
        <w:rPr>
          <w:rFonts w:ascii="Arial" w:cs="Arial" w:eastAsia="Arial" w:hAnsi="Arial"/>
          <w:color w:val="1A1A2E"/>
          <w:sz w:val="22"/>
          <w:szCs w:val="22"/>
        </w:rPr>
        <w:t xml:space="preserve">UNICEF. Child Mortality Data. https://data.unicef.org/topic/child-survival/under-five-mortality/</w:t>
      </w:r>
    </w:p>
    <w:p>
      <w:pPr>
        <w:spacing w:before="80" w:after="120"/>
        <w:jc w:val="both"/>
      </w:pPr>
      <w:r>
        <w:rPr>
          <w:rFonts w:ascii="Arial" w:cs="Arial" w:eastAsia="Arial" w:hAnsi="Arial"/>
          <w:color w:val="1A1A2E"/>
          <w:sz w:val="22"/>
          <w:szCs w:val="22"/>
        </w:rPr>
        <w:t xml:space="preserve">WHO. Malnutrition Fact Sheet. Geneva: WHO, updated March 2024.</w:t>
      </w:r>
    </w:p>
    <w:p>
      <w:pPr>
        <w:spacing w:before="60" w:after="60"/>
      </w:pPr>
      <w:r>
        <w:t xml:space="preserve"/>
      </w:r>
    </w:p>
    <w:p>
      <w:pPr>
        <w:pStyle w:val="Heading3"/>
        <w:spacing w:before="200" w:after="80"/>
      </w:pPr>
      <w:r>
        <w:rPr>
          <w:rFonts w:ascii="Arial" w:cs="Arial" w:eastAsia="Arial" w:hAnsi="Arial"/>
          <w:b/>
          <w:bCs/>
          <w:color w:val="8B6914"/>
          <w:sz w:val="22"/>
          <w:szCs w:val="22"/>
        </w:rPr>
        <w:t xml:space="preserve">Hunger &amp; Malnutrition</w:t>
      </w:r>
    </w:p>
    <w:p>
      <w:pPr>
        <w:spacing w:before="80" w:after="120"/>
        <w:jc w:val="both"/>
      </w:pPr>
      <w:r>
        <w:rPr>
          <w:rFonts w:ascii="Arial" w:cs="Arial" w:eastAsia="Arial" w:hAnsi="Arial"/>
          <w:color w:val="1A1A2E"/>
          <w:sz w:val="22"/>
          <w:szCs w:val="22"/>
        </w:rPr>
        <w:t xml:space="preserve">Concern Worldwide / Welthungerhilfe. Global Hunger Index 2024. Dublin/Bonn: Concern Worldwide, October 2024.</w:t>
      </w:r>
    </w:p>
    <w:p>
      <w:pPr>
        <w:spacing w:before="80" w:after="120"/>
        <w:jc w:val="both"/>
      </w:pPr>
      <w:r>
        <w:rPr>
          <w:rFonts w:ascii="Arial" w:cs="Arial" w:eastAsia="Arial" w:hAnsi="Arial"/>
          <w:color w:val="1A1A2E"/>
          <w:sz w:val="22"/>
          <w:szCs w:val="22"/>
        </w:rPr>
        <w:t xml:space="preserve">Concern Worldwide. World Hunger Facts 2026. https://www.concern.net (accessed March 2026).</w:t>
      </w:r>
    </w:p>
    <w:p>
      <w:pPr>
        <w:spacing w:before="80" w:after="120"/>
        <w:jc w:val="both"/>
      </w:pPr>
      <w:r>
        <w:rPr>
          <w:rFonts w:ascii="Arial" w:cs="Arial" w:eastAsia="Arial" w:hAnsi="Arial"/>
          <w:color w:val="1A1A2E"/>
          <w:sz w:val="22"/>
          <w:szCs w:val="22"/>
        </w:rPr>
        <w:t xml:space="preserve">EU Joint Research Centre. Food Crises 2024: Nearly 300 Million Suffered High Levels of Acute Food Insecurity. Brussels: JRC, May 2025.</w:t>
      </w:r>
    </w:p>
    <w:p>
      <w:pPr>
        <w:spacing w:before="80" w:after="120"/>
        <w:jc w:val="both"/>
      </w:pPr>
      <w:r>
        <w:rPr>
          <w:rFonts w:ascii="Arial" w:cs="Arial" w:eastAsia="Arial" w:hAnsi="Arial"/>
          <w:color w:val="1A1A2E"/>
          <w:sz w:val="22"/>
          <w:szCs w:val="22"/>
        </w:rPr>
        <w:t xml:space="preserve">Goodera. Key World Hunger Facts and Statistics in 2025. https://www.goodera.com (citing WFP, FAO, IFPRI, 2024 data).</w:t>
      </w:r>
    </w:p>
    <w:p>
      <w:pPr>
        <w:spacing w:before="60" w:after="60"/>
      </w:pPr>
      <w:r>
        <w:t xml:space="preserve"/>
      </w:r>
    </w:p>
    <w:p>
      <w:pPr>
        <w:pStyle w:val="Heading3"/>
        <w:spacing w:before="200" w:after="80"/>
      </w:pPr>
      <w:r>
        <w:rPr>
          <w:rFonts w:ascii="Arial" w:cs="Arial" w:eastAsia="Arial" w:hAnsi="Arial"/>
          <w:b/>
          <w:bCs/>
          <w:color w:val="8B6914"/>
          <w:sz w:val="22"/>
          <w:szCs w:val="22"/>
        </w:rPr>
        <w:t xml:space="preserve">Abortion</w:t>
      </w:r>
    </w:p>
    <w:p>
      <w:pPr>
        <w:spacing w:before="80" w:after="120"/>
        <w:jc w:val="both"/>
      </w:pPr>
      <w:r>
        <w:rPr>
          <w:rFonts w:ascii="Arial" w:cs="Arial" w:eastAsia="Arial" w:hAnsi="Arial"/>
          <w:color w:val="1A1A2E"/>
          <w:sz w:val="22"/>
          <w:szCs w:val="22"/>
        </w:rPr>
        <w:t xml:space="preserve">WHO. Abortion Fact Sheet. Geneva: WHO, December 2025. https://www.who.int/news-room/fact-sheets/detail/abortion</w:t>
      </w:r>
    </w:p>
    <w:p>
      <w:pPr>
        <w:spacing w:before="80" w:after="120"/>
        <w:jc w:val="both"/>
      </w:pPr>
      <w:r>
        <w:rPr>
          <w:rFonts w:ascii="Arial" w:cs="Arial" w:eastAsia="Arial" w:hAnsi="Arial"/>
          <w:color w:val="1A1A2E"/>
          <w:sz w:val="22"/>
          <w:szCs w:val="22"/>
        </w:rPr>
        <w:t xml:space="preserve">Bearak J, Popinchalk A, Ganatra B, et al. Unintended pregnancy and abortion by income, region, and the legal status of abortion: estimates from a comprehensive model for 1990–2019. Lancet Global Health, July 2020.</w:t>
      </w:r>
    </w:p>
    <w:p>
      <w:pPr>
        <w:spacing w:before="80" w:after="120"/>
        <w:jc w:val="both"/>
      </w:pPr>
      <w:r>
        <w:rPr>
          <w:rFonts w:ascii="Arial" w:cs="Arial" w:eastAsia="Arial" w:hAnsi="Arial"/>
          <w:color w:val="1A1A2E"/>
          <w:sz w:val="22"/>
          <w:szCs w:val="22"/>
        </w:rPr>
        <w:t xml:space="preserve">Ganatra B, Gerdts C, Rossier C, et al. Global, regional, and subregional classification of abortions by safety, 2010–14: estimates from a Bayesian hierarchical model. The Lancet, November 2017.</w:t>
      </w:r>
    </w:p>
    <w:p>
      <w:pPr>
        <w:spacing w:before="80" w:after="120"/>
        <w:jc w:val="both"/>
      </w:pPr>
      <w:r>
        <w:rPr>
          <w:rFonts w:ascii="Arial" w:cs="Arial" w:eastAsia="Arial" w:hAnsi="Arial"/>
          <w:color w:val="1A1A2E"/>
          <w:sz w:val="22"/>
          <w:szCs w:val="22"/>
        </w:rPr>
        <w:t xml:space="preserve">WHO / Guttmacher Institute. Worldwide, an Estimated 25 Million Unsafe Abortions Occur Each Year. WHO News Release, September 2017.</w:t>
      </w:r>
    </w:p>
    <w:p>
      <w:pPr>
        <w:spacing w:before="80" w:after="120"/>
        <w:jc w:val="both"/>
      </w:pPr>
      <w:r>
        <w:rPr>
          <w:rFonts w:ascii="Arial" w:cs="Arial" w:eastAsia="Arial" w:hAnsi="Arial"/>
          <w:color w:val="1A1A2E"/>
          <w:sz w:val="22"/>
          <w:szCs w:val="22"/>
        </w:rPr>
        <w:t xml:space="preserve">Worldometers. Abortion Statistics. https://www.worldometers.info/abortions/ (based on WHO data, 2024).</w:t>
      </w:r>
    </w:p>
    <w:p>
      <w:pPr>
        <w:spacing w:before="80" w:after="120"/>
        <w:jc w:val="both"/>
      </w:pPr>
      <w:r>
        <w:rPr>
          <w:rFonts w:ascii="Arial" w:cs="Arial" w:eastAsia="Arial" w:hAnsi="Arial"/>
          <w:color w:val="1A1A2E"/>
          <w:sz w:val="22"/>
          <w:szCs w:val="22"/>
        </w:rPr>
        <w:t xml:space="preserve">Guttmacher Institute. Abortion Incidence and Access to Services. New York: Guttmacher, 2024.</w:t>
      </w:r>
    </w:p>
    <w:p>
      <w:pPr>
        <w:spacing w:before="60" w:after="60"/>
      </w:pPr>
      <w:r>
        <w:t xml:space="preserve"/>
      </w:r>
    </w:p>
    <w:p>
      <w:pPr>
        <w:pStyle w:val="Heading3"/>
        <w:spacing w:before="200" w:after="80"/>
      </w:pPr>
      <w:r>
        <w:rPr>
          <w:rFonts w:ascii="Arial" w:cs="Arial" w:eastAsia="Arial" w:hAnsi="Arial"/>
          <w:b/>
          <w:bCs/>
          <w:color w:val="8B6914"/>
          <w:sz w:val="22"/>
          <w:szCs w:val="22"/>
        </w:rPr>
        <w:t xml:space="preserve">Primary Concept Source</w:t>
      </w:r>
    </w:p>
    <w:p>
      <w:pPr>
        <w:spacing w:before="80" w:after="120"/>
        <w:jc w:val="both"/>
      </w:pPr>
      <w:r>
        <w:rPr>
          <w:rFonts w:ascii="Arial" w:cs="Arial" w:eastAsia="Arial" w:hAnsi="Arial"/>
          <w:color w:val="1A1A2E"/>
          <w:sz w:val="22"/>
          <w:szCs w:val="22"/>
        </w:rPr>
        <w:t xml:space="preserve">Mattos Neto, José Caetano de. Filosofia das Virtudes: Manifesto das Virtudes. Rio de Janeiro: [Author], 2023. — The primary source introducing the Holoviceose concept, Reverse Ethics, and the De-virtualization Process.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180"/>
      <w:outlineLvl w:val="0"/>
    </w:pPr>
    <w:rPr>
      <w:rFonts w:ascii="Arial" w:cs="Arial" w:eastAsia="Arial" w:hAnsi="Arial"/>
      <w:b/>
      <w:bCs/>
      <w:color w:val="B71C1C"/>
      <w:sz w:val="32"/>
      <w:szCs w:val="32"/>
    </w:rPr>
  </w:style>
  <w:style w:type="paragraph" w:styleId="Heading2">
    <w:name w:val="Heading 2"/>
    <w:basedOn w:val="Normal"/>
    <w:next w:val="Normal"/>
    <w:qFormat/>
    <w:pPr>
      <w:spacing w:before="280" w:after="120"/>
      <w:outlineLvl w:val="1"/>
    </w:pPr>
    <w:rPr>
      <w:rFonts w:ascii="Arial" w:cs="Arial" w:eastAsia="Arial" w:hAnsi="Arial"/>
      <w:b/>
      <w:bCs/>
      <w:color w:val="1A1A2E"/>
      <w:sz w:val="26"/>
      <w:szCs w:val="26"/>
    </w:rPr>
  </w:style>
  <w:style w:type="paragraph" w:styleId="Heading3">
    <w:name w:val="Heading 3"/>
    <w:basedOn w:val="Normal"/>
    <w:next w:val="Normal"/>
    <w:qFormat/>
    <w:pPr>
      <w:spacing w:before="200" w:after="80"/>
      <w:outlineLvl w:val="2"/>
    </w:pPr>
    <w:rPr>
      <w:rFonts w:ascii="Arial" w:cs="Arial" w:eastAsia="Arial" w:hAnsi="Arial"/>
      <w:b/>
      <w:bCs/>
      <w:color w:val="8B6914"/>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2026-03-18T22:23:51.950Z</dcterms:created>
  <dcterms:modified xsi:type="dcterms:W3CDTF">2026-03-18T22:23:51.951Z</dcterms:modified>
</cp:coreProperties>
</file>

<file path=docProps/custom.xml><?xml version="1.0" encoding="utf-8"?>
<Properties xmlns="http://schemas.openxmlformats.org/officeDocument/2006/custom-properties" xmlns:vt="http://schemas.openxmlformats.org/officeDocument/2006/docPropsVTypes"/>
</file>