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0"/>
        <w:jc w:val="center"/>
      </w:pPr>
      <w:r>
        <w:rPr>
          <w:rFonts w:ascii="Cinzel" w:cs="Cinzel" w:eastAsia="Cinzel" w:hAnsi="Cinzel"/>
          <w:caps/>
          <w:color w:val="B8963E"/>
          <w:spacing w:val="120"/>
          <w:sz w:val="16"/>
          <w:szCs w:val="16"/>
        </w:rPr>
        <w:t xml:space="preserve">Filosofia das Virtudes  ·  José Caetano de Mattos  ·  2026</w:t>
      </w:r>
    </w:p>
    <w:p>
      <w:pPr>
        <w:spacing w:after="120" w:before="0"/>
      </w:pPr>
      <w:r>
        <w:t xml:space="preserve"/>
      </w:r>
    </w:p>
    <w:p>
      <w:pPr>
        <w:spacing w:after="60" w:before="80"/>
        <w:jc w:val="center"/>
      </w:pPr>
      <w:r>
        <w:rPr>
          <w:rFonts w:ascii="Cinzel" w:cs="Cinzel" w:eastAsia="Cinzel" w:hAnsi="Cinzel"/>
          <w:b/>
          <w:bCs/>
          <w:color w:val="0F1E3A"/>
          <w:sz w:val="32"/>
          <w:szCs w:val="32"/>
        </w:rPr>
        <w:t xml:space="preserve">The Dynamic Freedom Theorem</w:t>
      </w:r>
    </w:p>
    <w:p>
      <w:pPr>
        <w:spacing w:after="200" w:before="40"/>
        <w:jc w:val="center"/>
      </w:pPr>
      <w:r>
        <w:rPr>
          <w:rFonts w:ascii="Cormorant Garamond" w:cs="Cormorant Garamond" w:eastAsia="Cormorant Garamond" w:hAnsi="Cormorant Garamond"/>
          <w:i/>
          <w:iCs/>
          <w:color w:val="4A5A74"/>
          <w:sz w:val="22"/>
          <w:szCs w:val="22"/>
        </w:rPr>
        <w:t xml:space="preserve">Domains of Absolute Precedence over the Prior Philosophical Tradition</w:t>
      </w:r>
    </w:p>
    <w:p>
      <w:pPr>
        <w:spacing w:after="160" w:before="0"/>
      </w:pPr>
      <w:r>
        <w:t xml:space="preserve"/>
      </w:r>
    </w:p>
    <w:p>
      <w:pPr>
        <w:pBdr>
          <w:left w:val="single" w:color="B8963E" w:sz="12" w:space="8"/>
        </w:pBdr>
        <w:shd w:fill="F3EDE3" w:val="clear"/>
        <w:spacing w:after="240" w:before="100"/>
        <w:ind w:left="360" w:right="360"/>
      </w:pPr>
      <w:r>
        <w:rPr>
          <w:rFonts w:ascii="Cormorant Garamond" w:cs="Cormorant Garamond" w:eastAsia="Cormorant Garamond" w:hAnsi="Cormorant Garamond"/>
          <w:i/>
          <w:iCs/>
          <w:color w:val="4A5A74"/>
          <w:sz w:val="20"/>
          <w:szCs w:val="20"/>
        </w:rPr>
        <w:t xml:space="preserve">The following ranking does not compare the DFT to the classical tradition within a shared hierarchy. The classical systems and the DFT are incommensurable in domain. Where the relevant question is the dynamic behaviour of virtue under real-world conditions — which is the question the whole prior tradition left formally unanswered — the DFT does not merely excel. It is the only available instrument.</w:t>
      </w:r>
    </w:p>
    <w:p>
      <w:pPr>
        <w:pBdr>
          <w:bottom w:val="single" w:color="B8963E" w:sz="4" w:space="4"/>
        </w:pBdr>
        <w:spacing w:after="100" w:before="300"/>
      </w:pPr>
      <w:r>
        <w:rPr>
          <w:rFonts w:ascii="Cinzel" w:cs="Cinzel" w:eastAsia="Cinzel" w:hAnsi="Cinzel"/>
          <w:b/>
          <w:bCs/>
          <w:caps/>
          <w:color w:val="B8963E"/>
          <w:spacing w:val="80"/>
          <w:sz w:val="16"/>
          <w:szCs w:val="16"/>
        </w:rPr>
        <w:t xml:space="preserve">Ranked Domains of Precedence</w:t>
      </w:r>
    </w:p>
    <w:p>
      <w:pPr>
        <w:spacing w:after="80" w:before="0"/>
      </w:pPr>
      <w:r>
        <w:t xml:space="preserve"/>
      </w:r>
    </w:p>
    <w:tbl>
      <w:tblPr>
        <w:tblW w:type="dxa" w:w="6590"/>
        <w:tblBorders>
          <w:top w:val="single" w:color="auto" w:sz="4"/>
          <w:left w:val="single" w:color="auto" w:sz="4"/>
          <w:bottom w:val="single" w:color="auto" w:sz="4"/>
          <w:right w:val="single" w:color="auto" w:sz="4"/>
          <w:insideH w:val="single" w:color="auto" w:sz="4"/>
          <w:insideV w:val="single" w:color="auto" w:sz="4"/>
        </w:tblBorders>
      </w:tblPr>
      <w:tblGrid>
        <w:gridCol w:w="700"/>
        <w:gridCol w:w="5890"/>
      </w:tblGrid>
      <w:tr>
        <w:tc>
          <w:tcPr>
            <w:tcW w:type="dxa" w:w="700"/>
            <w:tcBorders>
              <w:top w:val="single" w:color="D4AF6A" w:sz="1"/>
              <w:left w:val="single" w:color="D4AF6A" w:sz="1"/>
              <w:bottom w:val="single" w:color="D4AF6A" w:sz="1"/>
              <w:right w:val="single" w:color="D4AF6A" w:sz="1"/>
            </w:tcBorders>
            <w:shd w:fill="0F1E3A" w:val="clear"/>
            <w:tcMar>
              <w:top w:type="dxa" w:w="140"/>
              <w:left w:type="dxa" w:w="120"/>
              <w:bottom w:type="dxa" w:w="80"/>
              <w:right w:type="dxa" w:w="120"/>
            </w:tcMar>
            <w:vAlign w:val="top"/>
          </w:tcPr>
          <w:p>
            <w:pPr>
              <w:spacing w:after="0" w:before="0"/>
              <w:jc w:val="center"/>
            </w:pPr>
            <w:r>
              <w:rPr>
                <w:rFonts w:ascii="Cinzel" w:cs="Cinzel" w:eastAsia="Cinzel" w:hAnsi="Cinzel"/>
                <w:b/>
                <w:bCs/>
                <w:color w:val="D4AF6A"/>
                <w:sz w:val="28"/>
                <w:szCs w:val="28"/>
              </w:rPr>
              <w:t xml:space="preserve">I</w:t>
            </w:r>
          </w:p>
          <w:p>
            <w:pPr>
              <w:spacing w:after="0" w:before="20"/>
              <w:jc w:val="center"/>
            </w:pPr>
            <w:r>
              <w:rPr>
                <w:rFonts w:ascii="Cinzel" w:cs="Cinzel" w:eastAsia="Cinzel" w:hAnsi="Cinzel"/>
                <w:caps/>
                <w:color w:val="7A6030"/>
                <w:spacing w:val="60"/>
                <w:sz w:val="12"/>
                <w:szCs w:val="12"/>
              </w:rPr>
              <w:t xml:space="preserve">rank</w:t>
            </w:r>
          </w:p>
        </w:tc>
        <w:tc>
          <w:tcPr>
            <w:tcW w:type="dxa" w:w="5890"/>
            <w:tcBorders>
              <w:top w:val="single" w:color="D4AF6A" w:sz="1"/>
              <w:left w:val="single" w:color="D4AF6A" w:sz="1"/>
              <w:bottom w:val="single" w:color="D4AF6A" w:sz="1"/>
              <w:right w:val="single" w:color="D4AF6A" w:sz="1"/>
            </w:tcBorders>
            <w:tcMar>
              <w:top w:type="dxa" w:w="140"/>
              <w:left w:type="dxa" w:w="200"/>
              <w:bottom w:type="dxa" w:w="120"/>
              <w:right w:type="dxa" w:w="160"/>
            </w:tcMar>
          </w:tcPr>
          <w:p>
            <w:pPr>
              <w:spacing w:after="80" w:before="0"/>
            </w:pPr>
            <w:r>
              <w:rPr>
                <w:rFonts w:ascii="Cinzel" w:cs="Cinzel" w:eastAsia="Cinzel" w:hAnsi="Cinzel"/>
                <w:b/>
                <w:bCs/>
                <w:color w:val="1B2A4A"/>
                <w:sz w:val="20"/>
                <w:szCs w:val="20"/>
              </w:rPr>
              <w:t xml:space="preserve">The Ontological Constitution of Virtue</w:t>
            </w:r>
          </w:p>
          <w:p>
            <w:pPr>
              <w:spacing w:after="80" w:before="0"/>
            </w:pPr>
            <w:r>
              <w:rPr>
                <w:rFonts w:ascii="Cormorant Garamond" w:cs="Cormorant Garamond" w:eastAsia="Cormorant Garamond" w:hAnsi="Cormorant Garamond"/>
                <w:color w:val="1B2A4A"/>
                <w:sz w:val="20"/>
                <w:szCs w:val="20"/>
              </w:rPr>
              <w:t xml:space="preserve">The OVF (V = F + D) states for the first time that Freedom is not a condition for virtue but its constituent substance. Every virtue is Freedom applied to a specific domain. No prior tradition — Aristotle, Kant, Spinoza, the Stoics — made this claim. Aristotle treated freedom as the condition of moral attribution; Kant treated autonomy as the ground of the moral law. Neither identified Freedom as the ontological element of which each virtue is made. This is a first-order metaphysical advance, not an applied one, and it belongs to the DFT alone.</w:t>
            </w:r>
          </w:p>
          <w:p>
            <w:pPr>
              <w:pBdr>
                <w:left w:val="single" w:color="B8963E" w:sz="10" w:space="6"/>
              </w:pBdr>
              <w:shd w:fill="F0E4C4" w:val="clear"/>
              <w:spacing w:after="60" w:before="60"/>
              <w:ind w:left="0"/>
            </w:pPr>
            <w:r>
              <w:rPr>
                <w:rFonts w:ascii="Cormorant Garamond" w:cs="Cormorant Garamond" w:eastAsia="Cormorant Garamond" w:hAnsi="Cormorant Garamond"/>
                <w:i/>
                <w:iCs/>
                <w:color w:val="1B2A4A"/>
                <w:sz w:val="19"/>
                <w:szCs w:val="19"/>
              </w:rPr>
              <w:t xml:space="preserve">V = F + D</w:t>
            </w:r>
          </w:p>
          <w:p>
            <w:pPr>
              <w:spacing w:after="0" w:before="60"/>
            </w:pPr>
            <w:r>
              <w:rPr>
                <w:rFonts w:ascii="Cinzel" w:cs="Cinzel" w:eastAsia="Cinzel" w:hAnsi="Cinzel"/>
                <w:b/>
                <w:bCs/>
                <w:caps/>
                <w:color w:val="B8963E"/>
                <w:spacing w:val="40"/>
                <w:sz w:val="14"/>
                <w:szCs w:val="14"/>
              </w:rPr>
              <w:t xml:space="preserve">  Unique  </w:t>
            </w:r>
            <w:r>
              <w:rPr>
                <w:rFonts w:ascii="Cinzel" w:cs="Cinzel" w:eastAsia="Cinzel" w:hAnsi="Cinzel"/>
                <w:b/>
                <w:bCs/>
                <w:caps/>
                <w:color w:val="B8963E"/>
                <w:spacing w:val="40"/>
                <w:sz w:val="14"/>
                <w:szCs w:val="14"/>
              </w:rPr>
              <w:t xml:space="preserve">  Formally Derived  </w:t>
            </w:r>
          </w:p>
        </w:tc>
      </w:tr>
    </w:tbl>
    <w:p>
      <w:pPr>
        <w:spacing w:after="160" w:before="0"/>
      </w:pPr>
      <w:r>
        <w:t xml:space="preserve"/>
      </w:r>
    </w:p>
    <w:tbl>
      <w:tblPr>
        <w:tblW w:type="dxa" w:w="6590"/>
        <w:tblBorders>
          <w:top w:val="single" w:color="auto" w:sz="4"/>
          <w:left w:val="single" w:color="auto" w:sz="4"/>
          <w:bottom w:val="single" w:color="auto" w:sz="4"/>
          <w:right w:val="single" w:color="auto" w:sz="4"/>
          <w:insideH w:val="single" w:color="auto" w:sz="4"/>
          <w:insideV w:val="single" w:color="auto" w:sz="4"/>
        </w:tblBorders>
      </w:tblPr>
      <w:tblGrid>
        <w:gridCol w:w="700"/>
        <w:gridCol w:w="5890"/>
      </w:tblGrid>
      <w:tr>
        <w:tc>
          <w:tcPr>
            <w:tcW w:type="dxa" w:w="700"/>
            <w:tcBorders>
              <w:top w:val="single" w:color="D4AF6A" w:sz="1"/>
              <w:left w:val="single" w:color="D4AF6A" w:sz="1"/>
              <w:bottom w:val="single" w:color="D4AF6A" w:sz="1"/>
              <w:right w:val="single" w:color="D4AF6A" w:sz="1"/>
            </w:tcBorders>
            <w:shd w:fill="0F1E3A" w:val="clear"/>
            <w:tcMar>
              <w:top w:type="dxa" w:w="140"/>
              <w:left w:type="dxa" w:w="120"/>
              <w:bottom w:type="dxa" w:w="80"/>
              <w:right w:type="dxa" w:w="120"/>
            </w:tcMar>
            <w:vAlign w:val="top"/>
          </w:tcPr>
          <w:p>
            <w:pPr>
              <w:spacing w:after="0" w:before="0"/>
              <w:jc w:val="center"/>
            </w:pPr>
            <w:r>
              <w:rPr>
                <w:rFonts w:ascii="Cinzel" w:cs="Cinzel" w:eastAsia="Cinzel" w:hAnsi="Cinzel"/>
                <w:b/>
                <w:bCs/>
                <w:color w:val="D4AF6A"/>
                <w:sz w:val="28"/>
                <w:szCs w:val="28"/>
              </w:rPr>
              <w:t xml:space="preserve">II</w:t>
            </w:r>
          </w:p>
          <w:p>
            <w:pPr>
              <w:spacing w:after="0" w:before="20"/>
              <w:jc w:val="center"/>
            </w:pPr>
            <w:r>
              <w:rPr>
                <w:rFonts w:ascii="Cinzel" w:cs="Cinzel" w:eastAsia="Cinzel" w:hAnsi="Cinzel"/>
                <w:caps/>
                <w:color w:val="7A6030"/>
                <w:spacing w:val="60"/>
                <w:sz w:val="12"/>
                <w:szCs w:val="12"/>
              </w:rPr>
              <w:t xml:space="preserve">rank</w:t>
            </w:r>
          </w:p>
        </w:tc>
        <w:tc>
          <w:tcPr>
            <w:tcW w:type="dxa" w:w="5890"/>
            <w:tcBorders>
              <w:top w:val="single" w:color="D4AF6A" w:sz="1"/>
              <w:left w:val="single" w:color="D4AF6A" w:sz="1"/>
              <w:bottom w:val="single" w:color="D4AF6A" w:sz="1"/>
              <w:right w:val="single" w:color="D4AF6A" w:sz="1"/>
            </w:tcBorders>
            <w:tcMar>
              <w:top w:type="dxa" w:w="140"/>
              <w:left w:type="dxa" w:w="200"/>
              <w:bottom w:type="dxa" w:w="120"/>
              <w:right w:type="dxa" w:w="160"/>
            </w:tcMar>
          </w:tcPr>
          <w:p>
            <w:pPr>
              <w:spacing w:after="80" w:before="0"/>
            </w:pPr>
            <w:r>
              <w:rPr>
                <w:rFonts w:ascii="Cinzel" w:cs="Cinzel" w:eastAsia="Cinzel" w:hAnsi="Cinzel"/>
                <w:b/>
                <w:bCs/>
                <w:color w:val="1B2A4A"/>
                <w:sz w:val="20"/>
                <w:szCs w:val="20"/>
              </w:rPr>
              <w:t xml:space="preserve">The Inversion Theorem</w:t>
            </w:r>
          </w:p>
          <w:p>
            <w:pPr>
              <w:spacing w:after="80" w:before="0"/>
            </w:pPr>
            <w:r>
              <w:rPr>
                <w:rFonts w:ascii="Cormorant Garamond" w:cs="Cormorant Garamond" w:eastAsia="Cormorant Garamond" w:hAnsi="Cormorant Garamond"/>
                <w:color w:val="1B2A4A"/>
                <w:sz w:val="20"/>
                <w:szCs w:val="20"/>
              </w:rPr>
              <w:t xml:space="preserve">V − F = −V. Removing Freedom from a virtue's domain does not reduce the virtue — it produces its categorical opposite. Compelled honesty is propaganda; enforced solidarity is collectivism; mandated courage is fanaticism. This is a formal constitutional principle: any law restricting Freedom in a virtue's domain inverts that virtue by definition. The Law Test that follows — every proposed restriction must justify itself against the inversion — has no precedent in the history of political philosophy or constitutional theory.</w:t>
            </w:r>
          </w:p>
          <w:p>
            <w:pPr>
              <w:pBdr>
                <w:left w:val="single" w:color="B8963E" w:sz="10" w:space="6"/>
              </w:pBdr>
              <w:shd w:fill="F0E4C4" w:val="clear"/>
              <w:spacing w:after="60" w:before="60"/>
              <w:ind w:left="0"/>
            </w:pPr>
            <w:r>
              <w:rPr>
                <w:rFonts w:ascii="Cormorant Garamond" w:cs="Cormorant Garamond" w:eastAsia="Cormorant Garamond" w:hAnsi="Cormorant Garamond"/>
                <w:i/>
                <w:iCs/>
                <w:color w:val="1B2A4A"/>
                <w:sz w:val="19"/>
                <w:szCs w:val="19"/>
              </w:rPr>
              <w:t xml:space="preserve">V − F = −V</w:t>
            </w:r>
          </w:p>
          <w:p>
            <w:pPr>
              <w:spacing w:after="0" w:before="60"/>
            </w:pPr>
            <w:r>
              <w:rPr>
                <w:rFonts w:ascii="Cinzel" w:cs="Cinzel" w:eastAsia="Cinzel" w:hAnsi="Cinzel"/>
                <w:b/>
                <w:bCs/>
                <w:caps/>
                <w:color w:val="B8963E"/>
                <w:spacing w:val="40"/>
                <w:sz w:val="14"/>
                <w:szCs w:val="14"/>
              </w:rPr>
              <w:t xml:space="preserve">  Unique  </w:t>
            </w:r>
            <w:r>
              <w:rPr>
                <w:rFonts w:ascii="Cinzel" w:cs="Cinzel" w:eastAsia="Cinzel" w:hAnsi="Cinzel"/>
                <w:b/>
                <w:bCs/>
                <w:caps/>
                <w:color w:val="B8963E"/>
                <w:spacing w:val="40"/>
                <w:sz w:val="14"/>
                <w:szCs w:val="14"/>
              </w:rPr>
              <w:t xml:space="preserve">  Formally Derived  </w:t>
            </w:r>
            <w:r>
              <w:rPr>
                <w:rFonts w:ascii="Cinzel" w:cs="Cinzel" w:eastAsia="Cinzel" w:hAnsi="Cinzel"/>
                <w:b/>
                <w:bCs/>
                <w:caps/>
                <w:color w:val="B8963E"/>
                <w:spacing w:val="40"/>
                <w:sz w:val="14"/>
                <w:szCs w:val="14"/>
              </w:rPr>
              <w:t xml:space="preserve">  Constitutional Application  </w:t>
            </w:r>
          </w:p>
        </w:tc>
      </w:tr>
    </w:tbl>
    <w:p>
      <w:pPr>
        <w:spacing w:after="160" w:before="0"/>
      </w:pPr>
      <w:r>
        <w:t xml:space="preserve"/>
      </w:r>
    </w:p>
    <w:tbl>
      <w:tblPr>
        <w:tblW w:type="dxa" w:w="6590"/>
        <w:tblBorders>
          <w:top w:val="single" w:color="auto" w:sz="4"/>
          <w:left w:val="single" w:color="auto" w:sz="4"/>
          <w:bottom w:val="single" w:color="auto" w:sz="4"/>
          <w:right w:val="single" w:color="auto" w:sz="4"/>
          <w:insideH w:val="single" w:color="auto" w:sz="4"/>
          <w:insideV w:val="single" w:color="auto" w:sz="4"/>
        </w:tblBorders>
      </w:tblPr>
      <w:tblGrid>
        <w:gridCol w:w="700"/>
        <w:gridCol w:w="5890"/>
      </w:tblGrid>
      <w:tr>
        <w:tc>
          <w:tcPr>
            <w:tcW w:type="dxa" w:w="700"/>
            <w:tcBorders>
              <w:top w:val="single" w:color="D4AF6A" w:sz="1"/>
              <w:left w:val="single" w:color="D4AF6A" w:sz="1"/>
              <w:bottom w:val="single" w:color="D4AF6A" w:sz="1"/>
              <w:right w:val="single" w:color="D4AF6A" w:sz="1"/>
            </w:tcBorders>
            <w:shd w:fill="0F1E3A" w:val="clear"/>
            <w:tcMar>
              <w:top w:type="dxa" w:w="140"/>
              <w:left w:type="dxa" w:w="120"/>
              <w:bottom w:type="dxa" w:w="80"/>
              <w:right w:type="dxa" w:w="120"/>
            </w:tcMar>
            <w:vAlign w:val="top"/>
          </w:tcPr>
          <w:p>
            <w:pPr>
              <w:spacing w:after="0" w:before="0"/>
              <w:jc w:val="center"/>
            </w:pPr>
            <w:r>
              <w:rPr>
                <w:rFonts w:ascii="Cinzel" w:cs="Cinzel" w:eastAsia="Cinzel" w:hAnsi="Cinzel"/>
                <w:b/>
                <w:bCs/>
                <w:color w:val="D4AF6A"/>
                <w:sz w:val="28"/>
                <w:szCs w:val="28"/>
              </w:rPr>
              <w:t xml:space="preserve">III</w:t>
            </w:r>
          </w:p>
          <w:p>
            <w:pPr>
              <w:spacing w:after="0" w:before="20"/>
              <w:jc w:val="center"/>
            </w:pPr>
            <w:r>
              <w:rPr>
                <w:rFonts w:ascii="Cinzel" w:cs="Cinzel" w:eastAsia="Cinzel" w:hAnsi="Cinzel"/>
                <w:caps/>
                <w:color w:val="7A6030"/>
                <w:spacing w:val="60"/>
                <w:sz w:val="12"/>
                <w:szCs w:val="12"/>
              </w:rPr>
              <w:t xml:space="preserve">rank</w:t>
            </w:r>
          </w:p>
        </w:tc>
        <w:tc>
          <w:tcPr>
            <w:tcW w:type="dxa" w:w="5890"/>
            <w:tcBorders>
              <w:top w:val="single" w:color="D4AF6A" w:sz="1"/>
              <w:left w:val="single" w:color="D4AF6A" w:sz="1"/>
              <w:bottom w:val="single" w:color="D4AF6A" w:sz="1"/>
              <w:right w:val="single" w:color="D4AF6A" w:sz="1"/>
            </w:tcBorders>
            <w:tcMar>
              <w:top w:type="dxa" w:w="140"/>
              <w:left w:type="dxa" w:w="200"/>
              <w:bottom w:type="dxa" w:w="120"/>
              <w:right w:type="dxa" w:w="160"/>
            </w:tcMar>
          </w:tcPr>
          <w:p>
            <w:pPr>
              <w:spacing w:after="80" w:before="0"/>
            </w:pPr>
            <w:r>
              <w:rPr>
                <w:rFonts w:ascii="Cinzel" w:cs="Cinzel" w:eastAsia="Cinzel" w:hAnsi="Cinzel"/>
                <w:b/>
                <w:bCs/>
                <w:color w:val="1B2A4A"/>
                <w:sz w:val="20"/>
                <w:szCs w:val="20"/>
              </w:rPr>
              <w:t xml:space="preserve">Dynamic Modelling of Virtue Strength</w:t>
            </w:r>
          </w:p>
          <w:p>
            <w:pPr>
              <w:spacing w:after="80" w:before="0"/>
            </w:pPr>
            <w:r>
              <w:rPr>
                <w:rFonts w:ascii="Cormorant Garamond" w:cs="Cormorant Garamond" w:eastAsia="Cormorant Garamond" w:hAnsi="Cormorant Garamond"/>
                <w:color w:val="1B2A4A"/>
                <w:sz w:val="20"/>
                <w:szCs w:val="20"/>
              </w:rPr>
              <w:t xml:space="preserve">S = (F × A) / R specifies, for the first time in the tradition, the strength with which a virtue is exercised as a formal function of Freedom, Autonomy, and Resistance. Aristotle described habituation qualitatively. Kant declared Autonomy binary. Neither produced a variable account of virtuous output under differing conditions. The DFT explains why the same virtuous person acts differently under different regimes, why oppression erodes virtuous expression even when character remains intact, and why formally free societies can exhibit low Virtue Strength.</w:t>
            </w:r>
          </w:p>
          <w:p>
            <w:pPr>
              <w:pBdr>
                <w:left w:val="single" w:color="B8963E" w:sz="10" w:space="6"/>
              </w:pBdr>
              <w:shd w:fill="F0E4C4" w:val="clear"/>
              <w:spacing w:after="60" w:before="60"/>
              <w:ind w:left="0"/>
            </w:pPr>
            <w:r>
              <w:rPr>
                <w:rFonts w:ascii="Cormorant Garamond" w:cs="Cormorant Garamond" w:eastAsia="Cormorant Garamond" w:hAnsi="Cormorant Garamond"/>
                <w:i/>
                <w:iCs/>
                <w:color w:val="1B2A4A"/>
                <w:sz w:val="19"/>
                <w:szCs w:val="19"/>
              </w:rPr>
              <w:t xml:space="preserve">S = (F × A) / R</w:t>
            </w:r>
          </w:p>
          <w:p>
            <w:pPr>
              <w:spacing w:after="0" w:before="60"/>
            </w:pPr>
            <w:r>
              <w:rPr>
                <w:rFonts w:ascii="Cinzel" w:cs="Cinzel" w:eastAsia="Cinzel" w:hAnsi="Cinzel"/>
                <w:b/>
                <w:bCs/>
                <w:caps/>
                <w:color w:val="B8963E"/>
                <w:spacing w:val="40"/>
                <w:sz w:val="14"/>
                <w:szCs w:val="14"/>
              </w:rPr>
              <w:t xml:space="preserve">  Unique  </w:t>
            </w:r>
            <w:r>
              <w:rPr>
                <w:rFonts w:ascii="Cinzel" w:cs="Cinzel" w:eastAsia="Cinzel" w:hAnsi="Cinzel"/>
                <w:b/>
                <w:bCs/>
                <w:caps/>
                <w:color w:val="B8963E"/>
                <w:spacing w:val="40"/>
                <w:sz w:val="14"/>
                <w:szCs w:val="14"/>
              </w:rPr>
              <w:t xml:space="preserve">  Formally Derived  </w:t>
            </w:r>
            <w:r>
              <w:rPr>
                <w:rFonts w:ascii="Cinzel" w:cs="Cinzel" w:eastAsia="Cinzel" w:hAnsi="Cinzel"/>
                <w:b/>
                <w:bCs/>
                <w:caps/>
                <w:color w:val="B8963E"/>
                <w:spacing w:val="40"/>
                <w:sz w:val="14"/>
                <w:szCs w:val="14"/>
              </w:rPr>
              <w:t xml:space="preserve">  Cross-Disciplinary Confirmation  </w:t>
            </w:r>
          </w:p>
        </w:tc>
      </w:tr>
    </w:tbl>
    <w:p>
      <w:pPr>
        <w:spacing w:after="160" w:before="0"/>
      </w:pPr>
      <w:r>
        <w:t xml:space="preserve"/>
      </w:r>
    </w:p>
    <w:tbl>
      <w:tblPr>
        <w:tblW w:type="dxa" w:w="6590"/>
        <w:tblBorders>
          <w:top w:val="single" w:color="auto" w:sz="4"/>
          <w:left w:val="single" w:color="auto" w:sz="4"/>
          <w:bottom w:val="single" w:color="auto" w:sz="4"/>
          <w:right w:val="single" w:color="auto" w:sz="4"/>
          <w:insideH w:val="single" w:color="auto" w:sz="4"/>
          <w:insideV w:val="single" w:color="auto" w:sz="4"/>
        </w:tblBorders>
      </w:tblPr>
      <w:tblGrid>
        <w:gridCol w:w="700"/>
        <w:gridCol w:w="5890"/>
      </w:tblGrid>
      <w:tr>
        <w:tc>
          <w:tcPr>
            <w:tcW w:type="dxa" w:w="700"/>
            <w:tcBorders>
              <w:top w:val="single" w:color="D4AF6A" w:sz="1"/>
              <w:left w:val="single" w:color="D4AF6A" w:sz="1"/>
              <w:bottom w:val="single" w:color="D4AF6A" w:sz="1"/>
              <w:right w:val="single" w:color="D4AF6A" w:sz="1"/>
            </w:tcBorders>
            <w:shd w:fill="0F1E3A" w:val="clear"/>
            <w:tcMar>
              <w:top w:type="dxa" w:w="140"/>
              <w:left w:type="dxa" w:w="120"/>
              <w:bottom w:type="dxa" w:w="80"/>
              <w:right w:type="dxa" w:w="120"/>
            </w:tcMar>
            <w:vAlign w:val="top"/>
          </w:tcPr>
          <w:p>
            <w:pPr>
              <w:spacing w:after="0" w:before="0"/>
              <w:jc w:val="center"/>
            </w:pPr>
            <w:r>
              <w:rPr>
                <w:rFonts w:ascii="Cinzel" w:cs="Cinzel" w:eastAsia="Cinzel" w:hAnsi="Cinzel"/>
                <w:b/>
                <w:bCs/>
                <w:color w:val="D4AF6A"/>
                <w:sz w:val="28"/>
                <w:szCs w:val="28"/>
              </w:rPr>
              <w:t xml:space="preserve">IV</w:t>
            </w:r>
          </w:p>
          <w:p>
            <w:pPr>
              <w:spacing w:after="0" w:before="20"/>
              <w:jc w:val="center"/>
            </w:pPr>
            <w:r>
              <w:rPr>
                <w:rFonts w:ascii="Cinzel" w:cs="Cinzel" w:eastAsia="Cinzel" w:hAnsi="Cinzel"/>
                <w:caps/>
                <w:color w:val="7A6030"/>
                <w:spacing w:val="60"/>
                <w:sz w:val="12"/>
                <w:szCs w:val="12"/>
              </w:rPr>
              <w:t xml:space="preserve">rank</w:t>
            </w:r>
          </w:p>
        </w:tc>
        <w:tc>
          <w:tcPr>
            <w:tcW w:type="dxa" w:w="5890"/>
            <w:tcBorders>
              <w:top w:val="single" w:color="D4AF6A" w:sz="1"/>
              <w:left w:val="single" w:color="D4AF6A" w:sz="1"/>
              <w:bottom w:val="single" w:color="D4AF6A" w:sz="1"/>
              <w:right w:val="single" w:color="D4AF6A" w:sz="1"/>
            </w:tcBorders>
            <w:tcMar>
              <w:top w:type="dxa" w:w="140"/>
              <w:left w:type="dxa" w:w="200"/>
              <w:bottom w:type="dxa" w:w="120"/>
              <w:right w:type="dxa" w:w="160"/>
            </w:tcMar>
          </w:tcPr>
          <w:p>
            <w:pPr>
              <w:spacing w:after="80" w:before="0"/>
            </w:pPr>
            <w:r>
              <w:rPr>
                <w:rFonts w:ascii="Cinzel" w:cs="Cinzel" w:eastAsia="Cinzel" w:hAnsi="Cinzel"/>
                <w:b/>
                <w:bCs/>
                <w:color w:val="1B2A4A"/>
                <w:sz w:val="20"/>
                <w:szCs w:val="20"/>
              </w:rPr>
              <w:t xml:space="preserve">Temporal Dynamics of Autonomy</w:t>
            </w:r>
          </w:p>
          <w:p>
            <w:pPr>
              <w:spacing w:after="80" w:before="0"/>
            </w:pPr>
            <w:r>
              <w:rPr>
                <w:rFonts w:ascii="Cormorant Garamond" w:cs="Cormorant Garamond" w:eastAsia="Cormorant Garamond" w:hAnsi="Cormorant Garamond"/>
                <w:color w:val="1B2A4A"/>
                <w:sz w:val="20"/>
                <w:szCs w:val="20"/>
              </w:rPr>
              <w:t xml:space="preserve">Aristotle observed that virtue is formed by practice. He did not specify the mechanism or its temporal structure. The CAT formalises habituation as an exponential process. Autonomy compounds under Freedom and decays under its absence. The Autonomy Half-Life specifies that A-decay initiated by restriction persists after the restriction is lifted — producing the post-liberation democratic fragility that every political transition since 1945 has demonstrated, and that no classical theory has been able to explain.</w:t>
            </w:r>
          </w:p>
          <w:p>
            <w:pPr>
              <w:pBdr>
                <w:left w:val="single" w:color="B8963E" w:sz="10" w:space="6"/>
              </w:pBdr>
              <w:shd w:fill="F0E4C4" w:val="clear"/>
              <w:spacing w:after="60" w:before="60"/>
              <w:ind w:left="0"/>
            </w:pPr>
            <w:r>
              <w:rPr>
                <w:rFonts w:ascii="Cormorant Garamond" w:cs="Cormorant Garamond" w:eastAsia="Cormorant Garamond" w:hAnsi="Cormorant Garamond"/>
                <w:i/>
                <w:iCs/>
                <w:color w:val="1B2A4A"/>
                <w:sz w:val="19"/>
                <w:szCs w:val="19"/>
              </w:rPr>
              <w:t xml:space="preserve">A(t) = A₀ · e^(k∫F dt)</w:t>
            </w:r>
          </w:p>
          <w:p>
            <w:pPr>
              <w:spacing w:after="0" w:before="60"/>
            </w:pPr>
            <w:r>
              <w:rPr>
                <w:rFonts w:ascii="Cinzel" w:cs="Cinzel" w:eastAsia="Cinzel" w:hAnsi="Cinzel"/>
                <w:b/>
                <w:bCs/>
                <w:caps/>
                <w:color w:val="B8963E"/>
                <w:spacing w:val="40"/>
                <w:sz w:val="14"/>
                <w:szCs w:val="14"/>
              </w:rPr>
              <w:t xml:space="preserve">  Unique  </w:t>
            </w:r>
            <w:r>
              <w:rPr>
                <w:rFonts w:ascii="Cinzel" w:cs="Cinzel" w:eastAsia="Cinzel" w:hAnsi="Cinzel"/>
                <w:b/>
                <w:bCs/>
                <w:caps/>
                <w:color w:val="B8963E"/>
                <w:spacing w:val="40"/>
                <w:sz w:val="14"/>
                <w:szCs w:val="14"/>
              </w:rPr>
              <w:t xml:space="preserve">  Formally Derived  </w:t>
            </w:r>
            <w:r>
              <w:rPr>
                <w:rFonts w:ascii="Cinzel" w:cs="Cinzel" w:eastAsia="Cinzel" w:hAnsi="Cinzel"/>
                <w:b/>
                <w:bCs/>
                <w:caps/>
                <w:color w:val="B8963E"/>
                <w:spacing w:val="40"/>
                <w:sz w:val="14"/>
                <w:szCs w:val="14"/>
              </w:rPr>
              <w:t xml:space="preserve">  Historically Confirmed  </w:t>
            </w:r>
          </w:p>
        </w:tc>
      </w:tr>
    </w:tbl>
    <w:p>
      <w:pPr>
        <w:spacing w:after="160" w:before="0"/>
      </w:pPr>
      <w:r>
        <w:t xml:space="preserve"/>
      </w:r>
    </w:p>
    <w:tbl>
      <w:tblPr>
        <w:tblW w:type="dxa" w:w="6590"/>
        <w:tblBorders>
          <w:top w:val="single" w:color="auto" w:sz="4"/>
          <w:left w:val="single" w:color="auto" w:sz="4"/>
          <w:bottom w:val="single" w:color="auto" w:sz="4"/>
          <w:right w:val="single" w:color="auto" w:sz="4"/>
          <w:insideH w:val="single" w:color="auto" w:sz="4"/>
          <w:insideV w:val="single" w:color="auto" w:sz="4"/>
        </w:tblBorders>
      </w:tblPr>
      <w:tblGrid>
        <w:gridCol w:w="700"/>
        <w:gridCol w:w="5890"/>
      </w:tblGrid>
      <w:tr>
        <w:tc>
          <w:tcPr>
            <w:tcW w:type="dxa" w:w="700"/>
            <w:tcBorders>
              <w:top w:val="single" w:color="D4AF6A" w:sz="1"/>
              <w:left w:val="single" w:color="D4AF6A" w:sz="1"/>
              <w:bottom w:val="single" w:color="D4AF6A" w:sz="1"/>
              <w:right w:val="single" w:color="D4AF6A" w:sz="1"/>
            </w:tcBorders>
            <w:shd w:fill="0F1E3A" w:val="clear"/>
            <w:tcMar>
              <w:top w:type="dxa" w:w="140"/>
              <w:left w:type="dxa" w:w="120"/>
              <w:bottom w:type="dxa" w:w="80"/>
              <w:right w:type="dxa" w:w="120"/>
            </w:tcMar>
            <w:vAlign w:val="top"/>
          </w:tcPr>
          <w:p>
            <w:pPr>
              <w:spacing w:after="0" w:before="0"/>
              <w:jc w:val="center"/>
            </w:pPr>
            <w:r>
              <w:rPr>
                <w:rFonts w:ascii="Cinzel" w:cs="Cinzel" w:eastAsia="Cinzel" w:hAnsi="Cinzel"/>
                <w:b/>
                <w:bCs/>
                <w:color w:val="D4AF6A"/>
                <w:sz w:val="28"/>
                <w:szCs w:val="28"/>
              </w:rPr>
              <w:t xml:space="preserve">V</w:t>
            </w:r>
          </w:p>
          <w:p>
            <w:pPr>
              <w:spacing w:after="0" w:before="20"/>
              <w:jc w:val="center"/>
            </w:pPr>
            <w:r>
              <w:rPr>
                <w:rFonts w:ascii="Cinzel" w:cs="Cinzel" w:eastAsia="Cinzel" w:hAnsi="Cinzel"/>
                <w:caps/>
                <w:color w:val="7A6030"/>
                <w:spacing w:val="60"/>
                <w:sz w:val="12"/>
                <w:szCs w:val="12"/>
              </w:rPr>
              <w:t xml:space="preserve">rank</w:t>
            </w:r>
          </w:p>
        </w:tc>
        <w:tc>
          <w:tcPr>
            <w:tcW w:type="dxa" w:w="5890"/>
            <w:tcBorders>
              <w:top w:val="single" w:color="D4AF6A" w:sz="1"/>
              <w:left w:val="single" w:color="D4AF6A" w:sz="1"/>
              <w:bottom w:val="single" w:color="D4AF6A" w:sz="1"/>
              <w:right w:val="single" w:color="D4AF6A" w:sz="1"/>
            </w:tcBorders>
            <w:tcMar>
              <w:top w:type="dxa" w:w="140"/>
              <w:left w:type="dxa" w:w="200"/>
              <w:bottom w:type="dxa" w:w="120"/>
              <w:right w:type="dxa" w:w="160"/>
            </w:tcMar>
          </w:tcPr>
          <w:p>
            <w:pPr>
              <w:spacing w:after="80" w:before="0"/>
            </w:pPr>
            <w:r>
              <w:rPr>
                <w:rFonts w:ascii="Cinzel" w:cs="Cinzel" w:eastAsia="Cinzel" w:hAnsi="Cinzel"/>
                <w:b/>
                <w:bCs/>
                <w:color w:val="1B2A4A"/>
                <w:sz w:val="20"/>
                <w:szCs w:val="20"/>
              </w:rPr>
              <w:t xml:space="preserve">The Tripartite Resistance Framework and the Holoviceotic Domino Effect</w:t>
            </w:r>
          </w:p>
          <w:p>
            <w:pPr>
              <w:spacing w:after="80" w:before="0"/>
            </w:pPr>
            <w:r>
              <w:rPr>
                <w:rFonts w:ascii="Cormorant Garamond" w:cs="Cormorant Garamond" w:eastAsia="Cormorant Garamond" w:hAnsi="Cormorant Garamond"/>
                <w:color w:val="1B2A4A"/>
                <w:sz w:val="20"/>
                <w:szCs w:val="20"/>
              </w:rPr>
              <w:t xml:space="preserve">The DFT distinguishes three structurally distinct components of Resistance: R₁ (External Tyranny), R₂ (Social Pressure), and R₃ (Internal Vice). Their formal cascade — R₁↑ → R₂↑ → R₃↑ — constitutes the mechanism of Holoviceosis. Arendt described the destination of this process. Orwell described its symptoms. Havel documented its interior experience. None produced the formal mechanism. The Holoviceotic Domino Effect fills the gap the entire Literature of the Cage left open, and applies equally to formally free societies in which R₁ is low but R₂ and R₃ are dominant.</w:t>
            </w:r>
          </w:p>
          <w:p>
            <w:pPr>
              <w:pBdr>
                <w:left w:val="single" w:color="B8963E" w:sz="10" w:space="6"/>
              </w:pBdr>
              <w:shd w:fill="F0E4C4" w:val="clear"/>
              <w:spacing w:after="60" w:before="60"/>
              <w:ind w:left="0"/>
            </w:pPr>
            <w:r>
              <w:rPr>
                <w:rFonts w:ascii="Cormorant Garamond" w:cs="Cormorant Garamond" w:eastAsia="Cormorant Garamond" w:hAnsi="Cormorant Garamond"/>
                <w:i/>
                <w:iCs/>
                <w:color w:val="1B2A4A"/>
                <w:sz w:val="19"/>
                <w:szCs w:val="19"/>
              </w:rPr>
              <w:t xml:space="preserve">R₁↑ → R₂↑ → R₃↑ → S → 0</w:t>
            </w:r>
          </w:p>
          <w:p>
            <w:pPr>
              <w:spacing w:after="0" w:before="60"/>
            </w:pPr>
            <w:r>
              <w:rPr>
                <w:rFonts w:ascii="Cinzel" w:cs="Cinzel" w:eastAsia="Cinzel" w:hAnsi="Cinzel"/>
                <w:b/>
                <w:bCs/>
                <w:caps/>
                <w:color w:val="B8963E"/>
                <w:spacing w:val="40"/>
                <w:sz w:val="14"/>
                <w:szCs w:val="14"/>
              </w:rPr>
              <w:t xml:space="preserve">  Unique  </w:t>
            </w:r>
            <w:r>
              <w:rPr>
                <w:rFonts w:ascii="Cinzel" w:cs="Cinzel" w:eastAsia="Cinzel" w:hAnsi="Cinzel"/>
                <w:b/>
                <w:bCs/>
                <w:caps/>
                <w:color w:val="B8963E"/>
                <w:spacing w:val="40"/>
                <w:sz w:val="14"/>
                <w:szCs w:val="14"/>
              </w:rPr>
              <w:t xml:space="preserve">  Formally Derived  </w:t>
            </w:r>
            <w:r>
              <w:rPr>
                <w:rFonts w:ascii="Cinzel" w:cs="Cinzel" w:eastAsia="Cinzel" w:hAnsi="Cinzel"/>
                <w:b/>
                <w:bCs/>
                <w:caps/>
                <w:color w:val="B8963E"/>
                <w:spacing w:val="40"/>
                <w:sz w:val="14"/>
                <w:szCs w:val="14"/>
              </w:rPr>
              <w:t xml:space="preserve">  Contemporary Relevance  </w:t>
            </w:r>
          </w:p>
        </w:tc>
      </w:tr>
    </w:tbl>
    <w:p>
      <w:pPr>
        <w:spacing w:after="160" w:before="0"/>
      </w:pPr>
      <w:r>
        <w:t xml:space="preserve"/>
      </w:r>
    </w:p>
    <w:tbl>
      <w:tblPr>
        <w:tblW w:type="dxa" w:w="6590"/>
        <w:tblBorders>
          <w:top w:val="single" w:color="auto" w:sz="4"/>
          <w:left w:val="single" w:color="auto" w:sz="4"/>
          <w:bottom w:val="single" w:color="auto" w:sz="4"/>
          <w:right w:val="single" w:color="auto" w:sz="4"/>
          <w:insideH w:val="single" w:color="auto" w:sz="4"/>
          <w:insideV w:val="single" w:color="auto" w:sz="4"/>
        </w:tblBorders>
      </w:tblPr>
      <w:tblGrid>
        <w:gridCol w:w="700"/>
        <w:gridCol w:w="5890"/>
      </w:tblGrid>
      <w:tr>
        <w:tc>
          <w:tcPr>
            <w:tcW w:type="dxa" w:w="700"/>
            <w:tcBorders>
              <w:top w:val="single" w:color="D4AF6A" w:sz="1"/>
              <w:left w:val="single" w:color="D4AF6A" w:sz="1"/>
              <w:bottom w:val="single" w:color="D4AF6A" w:sz="1"/>
              <w:right w:val="single" w:color="D4AF6A" w:sz="1"/>
            </w:tcBorders>
            <w:shd w:fill="0F1E3A" w:val="clear"/>
            <w:tcMar>
              <w:top w:type="dxa" w:w="140"/>
              <w:left w:type="dxa" w:w="120"/>
              <w:bottom w:type="dxa" w:w="80"/>
              <w:right w:type="dxa" w:w="120"/>
            </w:tcMar>
            <w:vAlign w:val="top"/>
          </w:tcPr>
          <w:p>
            <w:pPr>
              <w:spacing w:after="0" w:before="0"/>
              <w:jc w:val="center"/>
            </w:pPr>
            <w:r>
              <w:rPr>
                <w:rFonts w:ascii="Cinzel" w:cs="Cinzel" w:eastAsia="Cinzel" w:hAnsi="Cinzel"/>
                <w:b/>
                <w:bCs/>
                <w:color w:val="D4AF6A"/>
                <w:sz w:val="28"/>
                <w:szCs w:val="28"/>
              </w:rPr>
              <w:t xml:space="preserve">VI</w:t>
            </w:r>
          </w:p>
          <w:p>
            <w:pPr>
              <w:spacing w:after="0" w:before="20"/>
              <w:jc w:val="center"/>
            </w:pPr>
            <w:r>
              <w:rPr>
                <w:rFonts w:ascii="Cinzel" w:cs="Cinzel" w:eastAsia="Cinzel" w:hAnsi="Cinzel"/>
                <w:caps/>
                <w:color w:val="7A6030"/>
                <w:spacing w:val="60"/>
                <w:sz w:val="12"/>
                <w:szCs w:val="12"/>
              </w:rPr>
              <w:t xml:space="preserve">rank</w:t>
            </w:r>
          </w:p>
        </w:tc>
        <w:tc>
          <w:tcPr>
            <w:tcW w:type="dxa" w:w="5890"/>
            <w:tcBorders>
              <w:top w:val="single" w:color="D4AF6A" w:sz="1"/>
              <w:left w:val="single" w:color="D4AF6A" w:sz="1"/>
              <w:bottom w:val="single" w:color="D4AF6A" w:sz="1"/>
              <w:right w:val="single" w:color="D4AF6A" w:sz="1"/>
            </w:tcBorders>
            <w:tcMar>
              <w:top w:type="dxa" w:w="140"/>
              <w:left w:type="dxa" w:w="200"/>
              <w:bottom w:type="dxa" w:w="120"/>
              <w:right w:type="dxa" w:w="160"/>
            </w:tcMar>
          </w:tcPr>
          <w:p>
            <w:pPr>
              <w:spacing w:after="80" w:before="0"/>
            </w:pPr>
            <w:r>
              <w:rPr>
                <w:rFonts w:ascii="Cinzel" w:cs="Cinzel" w:eastAsia="Cinzel" w:hAnsi="Cinzel"/>
                <w:b/>
                <w:bCs/>
                <w:color w:val="1B2A4A"/>
                <w:sz w:val="20"/>
                <w:szCs w:val="20"/>
              </w:rPr>
              <w:t xml:space="preserve">The Formal Refutation of Paternalism</w:t>
            </w:r>
          </w:p>
          <w:p>
            <w:pPr>
              <w:spacing w:after="0" w:before="0"/>
            </w:pPr>
            <w:r>
              <w:rPr>
                <w:rFonts w:ascii="Cormorant Garamond" w:cs="Cormorant Garamond" w:eastAsia="Cormorant Garamond" w:hAnsi="Cormorant Garamond"/>
                <w:color w:val="1B2A4A"/>
                <w:sz w:val="20"/>
                <w:szCs w:val="20"/>
              </w:rPr>
              <w:t xml:space="preserve">The DFT generates a three-stage formal refutation of paternalistic restriction that does not rely on libertarian premises. Stage I: by the Inversion Theorem, any restriction of F in a virtue's domain inverts the virtue. Stage II: by the Maintenance Condition, the reduction in F exceeds the reduction in R in virtually all paternalistic interventions, producing net negative ΔS. Stage III: by the Autonomy Half-Life, the A-decay persists generationally beyond the restriction. This three-stage argument has no equivalent in the prior literature on liberty or virtue.</w:t>
            </w:r>
          </w:p>
          <w:p>
            <w:pPr>
              <w:spacing w:after="0" w:before="60"/>
            </w:pPr>
            <w:r>
              <w:rPr>
                <w:rFonts w:ascii="Cinzel" w:cs="Cinzel" w:eastAsia="Cinzel" w:hAnsi="Cinzel"/>
                <w:b/>
                <w:bCs/>
                <w:caps/>
                <w:color w:val="B8963E"/>
                <w:spacing w:val="40"/>
                <w:sz w:val="14"/>
                <w:szCs w:val="14"/>
              </w:rPr>
              <w:t xml:space="preserve">  Formally Derived  </w:t>
            </w:r>
            <w:r>
              <w:rPr>
                <w:rFonts w:ascii="Cinzel" w:cs="Cinzel" w:eastAsia="Cinzel" w:hAnsi="Cinzel"/>
                <w:b/>
                <w:bCs/>
                <w:caps/>
                <w:color w:val="B8963E"/>
                <w:spacing w:val="40"/>
                <w:sz w:val="14"/>
                <w:szCs w:val="14"/>
              </w:rPr>
              <w:t xml:space="preserve">  Political Philosophy  </w:t>
            </w:r>
            <w:r>
              <w:rPr>
                <w:rFonts w:ascii="Cinzel" w:cs="Cinzel" w:eastAsia="Cinzel" w:hAnsi="Cinzel"/>
                <w:b/>
                <w:bCs/>
                <w:caps/>
                <w:color w:val="B8963E"/>
                <w:spacing w:val="40"/>
                <w:sz w:val="14"/>
                <w:szCs w:val="14"/>
              </w:rPr>
              <w:t xml:space="preserve">  No Prior Equivalent  </w:t>
            </w:r>
          </w:p>
        </w:tc>
      </w:tr>
    </w:tbl>
    <w:p>
      <w:pPr>
        <w:spacing w:after="160" w:before="0"/>
      </w:pPr>
      <w:r>
        <w:t xml:space="preserve"/>
      </w:r>
    </w:p>
    <w:tbl>
      <w:tblPr>
        <w:tblW w:type="dxa" w:w="6590"/>
        <w:tblBorders>
          <w:top w:val="single" w:color="auto" w:sz="4"/>
          <w:left w:val="single" w:color="auto" w:sz="4"/>
          <w:bottom w:val="single" w:color="auto" w:sz="4"/>
          <w:right w:val="single" w:color="auto" w:sz="4"/>
          <w:insideH w:val="single" w:color="auto" w:sz="4"/>
          <w:insideV w:val="single" w:color="auto" w:sz="4"/>
        </w:tblBorders>
      </w:tblPr>
      <w:tblGrid>
        <w:gridCol w:w="700"/>
        <w:gridCol w:w="5890"/>
      </w:tblGrid>
      <w:tr>
        <w:tc>
          <w:tcPr>
            <w:tcW w:type="dxa" w:w="700"/>
            <w:tcBorders>
              <w:top w:val="single" w:color="D4AF6A" w:sz="1"/>
              <w:left w:val="single" w:color="D4AF6A" w:sz="1"/>
              <w:bottom w:val="single" w:color="D4AF6A" w:sz="1"/>
              <w:right w:val="single" w:color="D4AF6A" w:sz="1"/>
            </w:tcBorders>
            <w:shd w:fill="0F1E3A" w:val="clear"/>
            <w:tcMar>
              <w:top w:type="dxa" w:w="140"/>
              <w:left w:type="dxa" w:w="120"/>
              <w:bottom w:type="dxa" w:w="80"/>
              <w:right w:type="dxa" w:w="120"/>
            </w:tcMar>
            <w:vAlign w:val="top"/>
          </w:tcPr>
          <w:p>
            <w:pPr>
              <w:spacing w:after="0" w:before="0"/>
              <w:jc w:val="center"/>
            </w:pPr>
            <w:r>
              <w:rPr>
                <w:rFonts w:ascii="Cinzel" w:cs="Cinzel" w:eastAsia="Cinzel" w:hAnsi="Cinzel"/>
                <w:b/>
                <w:bCs/>
                <w:color w:val="D4AF6A"/>
                <w:sz w:val="28"/>
                <w:szCs w:val="28"/>
              </w:rPr>
              <w:t xml:space="preserve">VII</w:t>
            </w:r>
          </w:p>
          <w:p>
            <w:pPr>
              <w:spacing w:after="0" w:before="20"/>
              <w:jc w:val="center"/>
            </w:pPr>
            <w:r>
              <w:rPr>
                <w:rFonts w:ascii="Cinzel" w:cs="Cinzel" w:eastAsia="Cinzel" w:hAnsi="Cinzel"/>
                <w:caps/>
                <w:color w:val="7A6030"/>
                <w:spacing w:val="60"/>
                <w:sz w:val="12"/>
                <w:szCs w:val="12"/>
              </w:rPr>
              <w:t xml:space="preserve">rank</w:t>
            </w:r>
          </w:p>
        </w:tc>
        <w:tc>
          <w:tcPr>
            <w:tcW w:type="dxa" w:w="5890"/>
            <w:tcBorders>
              <w:top w:val="single" w:color="D4AF6A" w:sz="1"/>
              <w:left w:val="single" w:color="D4AF6A" w:sz="1"/>
              <w:bottom w:val="single" w:color="D4AF6A" w:sz="1"/>
              <w:right w:val="single" w:color="D4AF6A" w:sz="1"/>
            </w:tcBorders>
            <w:tcMar>
              <w:top w:type="dxa" w:w="140"/>
              <w:left w:type="dxa" w:w="200"/>
              <w:bottom w:type="dxa" w:w="120"/>
              <w:right w:type="dxa" w:w="160"/>
            </w:tcMar>
          </w:tcPr>
          <w:p>
            <w:pPr>
              <w:spacing w:after="80" w:before="0"/>
            </w:pPr>
            <w:r>
              <w:rPr>
                <w:rFonts w:ascii="Cinzel" w:cs="Cinzel" w:eastAsia="Cinzel" w:hAnsi="Cinzel"/>
                <w:b/>
                <w:bCs/>
                <w:color w:val="1B2A4A"/>
                <w:sz w:val="20"/>
                <w:szCs w:val="20"/>
              </w:rPr>
              <w:t xml:space="preserve">Network and Civilisational Propagation</w:t>
            </w:r>
          </w:p>
          <w:p>
            <w:pPr>
              <w:spacing w:after="80" w:before="0"/>
            </w:pPr>
            <w:r>
              <w:rPr>
                <w:rFonts w:ascii="Cormorant Garamond" w:cs="Cormorant Garamond" w:eastAsia="Cormorant Garamond" w:hAnsi="Cormorant Garamond"/>
                <w:color w:val="1B2A4A"/>
                <w:sz w:val="20"/>
                <w:szCs w:val="20"/>
              </w:rPr>
              <w:t xml:space="preserve">Moral Conductance (Gᵥ = 1/R) formalises how virtue propagates through social networks — and why virtuous individuals remain isolated and ineffective in low-conductance cultural environments regardless of their personal Virtue Strength. Virtuogenesis extends this to the civilisational scale: each generation's sustained Freedom-exercise raises the base Autonomy of the next, compounding across centuries. Hegel's Sittlichkeit approaches this terrain philosophically but produces no formal model. The DFT provides the formal architecture that the prior tradition recognised but could not specify.</w:t>
            </w:r>
          </w:p>
          <w:p>
            <w:pPr>
              <w:pBdr>
                <w:left w:val="single" w:color="B8963E" w:sz="10" w:space="6"/>
              </w:pBdr>
              <w:shd w:fill="F0E4C4" w:val="clear"/>
              <w:spacing w:after="60" w:before="60"/>
              <w:ind w:left="0"/>
            </w:pPr>
            <w:r>
              <w:rPr>
                <w:rFonts w:ascii="Cormorant Garamond" w:cs="Cormorant Garamond" w:eastAsia="Cormorant Garamond" w:hAnsi="Cormorant Garamond"/>
                <w:i/>
                <w:iCs/>
                <w:color w:val="1B2A4A"/>
                <w:sz w:val="19"/>
                <w:szCs w:val="19"/>
              </w:rPr>
              <w:t xml:space="preserve">Sₙₑₜ = [Σ(Fᵢ × Aᵢ)] × Gᵥ / R</w:t>
            </w:r>
          </w:p>
          <w:p>
            <w:pPr>
              <w:spacing w:after="0" w:before="60"/>
            </w:pPr>
            <w:r>
              <w:rPr>
                <w:rFonts w:ascii="Cinzel" w:cs="Cinzel" w:eastAsia="Cinzel" w:hAnsi="Cinzel"/>
                <w:b/>
                <w:bCs/>
                <w:caps/>
                <w:color w:val="B8963E"/>
                <w:spacing w:val="40"/>
                <w:sz w:val="14"/>
                <w:szCs w:val="14"/>
              </w:rPr>
              <w:t xml:space="preserve">  Unique  </w:t>
            </w:r>
            <w:r>
              <w:rPr>
                <w:rFonts w:ascii="Cinzel" w:cs="Cinzel" w:eastAsia="Cinzel" w:hAnsi="Cinzel"/>
                <w:b/>
                <w:bCs/>
                <w:caps/>
                <w:color w:val="B8963E"/>
                <w:spacing w:val="40"/>
                <w:sz w:val="14"/>
                <w:szCs w:val="14"/>
              </w:rPr>
              <w:t xml:space="preserve">  Formally Derived  </w:t>
            </w:r>
          </w:p>
        </w:tc>
      </w:tr>
    </w:tbl>
    <w:p>
      <w:pPr>
        <w:spacing w:after="160" w:before="0"/>
      </w:pPr>
      <w:r>
        <w:t xml:space="preserve"/>
      </w:r>
    </w:p>
    <w:tbl>
      <w:tblPr>
        <w:tblW w:type="dxa" w:w="6590"/>
        <w:tblBorders>
          <w:top w:val="single" w:color="auto" w:sz="4"/>
          <w:left w:val="single" w:color="auto" w:sz="4"/>
          <w:bottom w:val="single" w:color="auto" w:sz="4"/>
          <w:right w:val="single" w:color="auto" w:sz="4"/>
          <w:insideH w:val="single" w:color="auto" w:sz="4"/>
          <w:insideV w:val="single" w:color="auto" w:sz="4"/>
        </w:tblBorders>
      </w:tblPr>
      <w:tblGrid>
        <w:gridCol w:w="700"/>
        <w:gridCol w:w="5890"/>
      </w:tblGrid>
      <w:tr>
        <w:tc>
          <w:tcPr>
            <w:tcW w:type="dxa" w:w="700"/>
            <w:tcBorders>
              <w:top w:val="single" w:color="D4AF6A" w:sz="1"/>
              <w:left w:val="single" w:color="D4AF6A" w:sz="1"/>
              <w:bottom w:val="single" w:color="D4AF6A" w:sz="1"/>
              <w:right w:val="single" w:color="D4AF6A" w:sz="1"/>
            </w:tcBorders>
            <w:shd w:fill="0F1E3A" w:val="clear"/>
            <w:tcMar>
              <w:top w:type="dxa" w:w="140"/>
              <w:left w:type="dxa" w:w="120"/>
              <w:bottom w:type="dxa" w:w="80"/>
              <w:right w:type="dxa" w:w="120"/>
            </w:tcMar>
            <w:vAlign w:val="top"/>
          </w:tcPr>
          <w:p>
            <w:pPr>
              <w:spacing w:after="0" w:before="0"/>
              <w:jc w:val="center"/>
            </w:pPr>
            <w:r>
              <w:rPr>
                <w:rFonts w:ascii="Cinzel" w:cs="Cinzel" w:eastAsia="Cinzel" w:hAnsi="Cinzel"/>
                <w:b/>
                <w:bCs/>
                <w:color w:val="D4AF6A"/>
                <w:sz w:val="28"/>
                <w:szCs w:val="28"/>
              </w:rPr>
              <w:t xml:space="preserve">VIII</w:t>
            </w:r>
          </w:p>
          <w:p>
            <w:pPr>
              <w:spacing w:after="0" w:before="20"/>
              <w:jc w:val="center"/>
            </w:pPr>
            <w:r>
              <w:rPr>
                <w:rFonts w:ascii="Cinzel" w:cs="Cinzel" w:eastAsia="Cinzel" w:hAnsi="Cinzel"/>
                <w:caps/>
                <w:color w:val="7A6030"/>
                <w:spacing w:val="60"/>
                <w:sz w:val="12"/>
                <w:szCs w:val="12"/>
              </w:rPr>
              <w:t xml:space="preserve">rank</w:t>
            </w:r>
          </w:p>
        </w:tc>
        <w:tc>
          <w:tcPr>
            <w:tcW w:type="dxa" w:w="5890"/>
            <w:tcBorders>
              <w:top w:val="single" w:color="D4AF6A" w:sz="1"/>
              <w:left w:val="single" w:color="D4AF6A" w:sz="1"/>
              <w:bottom w:val="single" w:color="D4AF6A" w:sz="1"/>
              <w:right w:val="single" w:color="D4AF6A" w:sz="1"/>
            </w:tcBorders>
            <w:tcMar>
              <w:top w:type="dxa" w:w="140"/>
              <w:left w:type="dxa" w:w="200"/>
              <w:bottom w:type="dxa" w:w="120"/>
              <w:right w:type="dxa" w:w="160"/>
            </w:tcMar>
          </w:tcPr>
          <w:p>
            <w:pPr>
              <w:spacing w:after="80" w:before="0"/>
            </w:pPr>
            <w:r>
              <w:rPr>
                <w:rFonts w:ascii="Cinzel" w:cs="Cinzel" w:eastAsia="Cinzel" w:hAnsi="Cinzel"/>
                <w:b/>
                <w:bCs/>
                <w:color w:val="1B2A4A"/>
                <w:sz w:val="20"/>
                <w:szCs w:val="20"/>
              </w:rPr>
              <w:t xml:space="preserve">The Posthumous Theorem — Martyrdom as a Formal Variable</w:t>
            </w:r>
          </w:p>
          <w:p>
            <w:pPr>
              <w:spacing w:after="80" w:before="0"/>
            </w:pPr>
            <w:r>
              <w:rPr>
                <w:rFonts w:ascii="Cormorant Garamond" w:cs="Cormorant Garamond" w:eastAsia="Cormorant Garamond" w:hAnsi="Cormorant Garamond"/>
                <w:color w:val="1B2A4A"/>
                <w:sz w:val="20"/>
                <w:szCs w:val="20"/>
              </w:rPr>
              <w:t xml:space="preserve">The Posthumous Theorem resolves the structural paradox that arises when the DFT encounters death under tyranny: Virtue Strength reaches its formal maximum precisely at the moment of physical extinction. History and religion have long recognised the enduring power of martyrdom; no system has given this phenomenon a formal place within a unified theory of virtue. The theorem establishes Moral Debt as a formal quantity and Posthumous Conductance Reconstruction as a civic obligation — with immediate implications for the treatment of historical injustice.</w:t>
            </w:r>
          </w:p>
          <w:p>
            <w:pPr>
              <w:pBdr>
                <w:left w:val="single" w:color="B8963E" w:sz="10" w:space="6"/>
              </w:pBdr>
              <w:shd w:fill="F0E4C4" w:val="clear"/>
              <w:spacing w:after="60" w:before="60"/>
              <w:ind w:left="0"/>
            </w:pPr>
            <w:r>
              <w:rPr>
                <w:rFonts w:ascii="Cormorant Garamond" w:cs="Cormorant Garamond" w:eastAsia="Cormorant Garamond" w:hAnsi="Cormorant Garamond"/>
                <w:i/>
                <w:iCs/>
                <w:color w:val="1B2A4A"/>
                <w:sz w:val="19"/>
                <w:szCs w:val="19"/>
              </w:rPr>
              <w:t xml:space="preserve">Sₚₒₛₜ = Iₘ × Gᵥ × kᵐ</w:t>
            </w:r>
          </w:p>
          <w:p>
            <w:pPr>
              <w:spacing w:after="0" w:before="60"/>
            </w:pPr>
            <w:r>
              <w:rPr>
                <w:rFonts w:ascii="Cinzel" w:cs="Cinzel" w:eastAsia="Cinzel" w:hAnsi="Cinzel"/>
                <w:b/>
                <w:bCs/>
                <w:caps/>
                <w:color w:val="B8963E"/>
                <w:spacing w:val="40"/>
                <w:sz w:val="14"/>
                <w:szCs w:val="14"/>
              </w:rPr>
              <w:t xml:space="preserve">  Unique  </w:t>
            </w:r>
            <w:r>
              <w:rPr>
                <w:rFonts w:ascii="Cinzel" w:cs="Cinzel" w:eastAsia="Cinzel" w:hAnsi="Cinzel"/>
                <w:b/>
                <w:bCs/>
                <w:caps/>
                <w:color w:val="B8963E"/>
                <w:spacing w:val="40"/>
                <w:sz w:val="14"/>
                <w:szCs w:val="14"/>
              </w:rPr>
              <w:t xml:space="preserve">  Formally Derived  </w:t>
            </w:r>
          </w:p>
        </w:tc>
      </w:tr>
    </w:tbl>
    <w:p>
      <w:pPr>
        <w:spacing w:after="160" w:before="0"/>
      </w:pPr>
      <w:r>
        <w:t xml:space="preserve"/>
      </w:r>
    </w:p>
    <w:tbl>
      <w:tblPr>
        <w:tblW w:type="dxa" w:w="6590"/>
        <w:tblBorders>
          <w:top w:val="single" w:color="auto" w:sz="4"/>
          <w:left w:val="single" w:color="auto" w:sz="4"/>
          <w:bottom w:val="single" w:color="auto" w:sz="4"/>
          <w:right w:val="single" w:color="auto" w:sz="4"/>
          <w:insideH w:val="single" w:color="auto" w:sz="4"/>
          <w:insideV w:val="single" w:color="auto" w:sz="4"/>
        </w:tblBorders>
      </w:tblPr>
      <w:tblGrid>
        <w:gridCol w:w="700"/>
        <w:gridCol w:w="5890"/>
      </w:tblGrid>
      <w:tr>
        <w:tc>
          <w:tcPr>
            <w:tcW w:type="dxa" w:w="700"/>
            <w:tcBorders>
              <w:top w:val="single" w:color="D4AF6A" w:sz="1"/>
              <w:left w:val="single" w:color="D4AF6A" w:sz="1"/>
              <w:bottom w:val="single" w:color="D4AF6A" w:sz="1"/>
              <w:right w:val="single" w:color="D4AF6A" w:sz="1"/>
            </w:tcBorders>
            <w:shd w:fill="0F1E3A" w:val="clear"/>
            <w:tcMar>
              <w:top w:type="dxa" w:w="140"/>
              <w:left w:type="dxa" w:w="120"/>
              <w:bottom w:type="dxa" w:w="80"/>
              <w:right w:type="dxa" w:w="120"/>
            </w:tcMar>
            <w:vAlign w:val="top"/>
          </w:tcPr>
          <w:p>
            <w:pPr>
              <w:spacing w:after="0" w:before="0"/>
              <w:jc w:val="center"/>
            </w:pPr>
            <w:r>
              <w:rPr>
                <w:rFonts w:ascii="Cinzel" w:cs="Cinzel" w:eastAsia="Cinzel" w:hAnsi="Cinzel"/>
                <w:b/>
                <w:bCs/>
                <w:color w:val="D4AF6A"/>
                <w:sz w:val="28"/>
                <w:szCs w:val="28"/>
              </w:rPr>
              <w:t xml:space="preserve">IX</w:t>
            </w:r>
          </w:p>
          <w:p>
            <w:pPr>
              <w:spacing w:after="0" w:before="20"/>
              <w:jc w:val="center"/>
            </w:pPr>
            <w:r>
              <w:rPr>
                <w:rFonts w:ascii="Cinzel" w:cs="Cinzel" w:eastAsia="Cinzel" w:hAnsi="Cinzel"/>
                <w:caps/>
                <w:color w:val="7A6030"/>
                <w:spacing w:val="60"/>
                <w:sz w:val="12"/>
                <w:szCs w:val="12"/>
              </w:rPr>
              <w:t xml:space="preserve">rank</w:t>
            </w:r>
          </w:p>
        </w:tc>
        <w:tc>
          <w:tcPr>
            <w:tcW w:type="dxa" w:w="5890"/>
            <w:tcBorders>
              <w:top w:val="single" w:color="D4AF6A" w:sz="1"/>
              <w:left w:val="single" w:color="D4AF6A" w:sz="1"/>
              <w:bottom w:val="single" w:color="D4AF6A" w:sz="1"/>
              <w:right w:val="single" w:color="D4AF6A" w:sz="1"/>
            </w:tcBorders>
            <w:tcMar>
              <w:top w:type="dxa" w:w="140"/>
              <w:left w:type="dxa" w:w="200"/>
              <w:bottom w:type="dxa" w:w="120"/>
              <w:right w:type="dxa" w:w="160"/>
            </w:tcMar>
          </w:tcPr>
          <w:p>
            <w:pPr>
              <w:spacing w:after="80" w:before="0"/>
            </w:pPr>
            <w:r>
              <w:rPr>
                <w:rFonts w:ascii="Cinzel" w:cs="Cinzel" w:eastAsia="Cinzel" w:hAnsi="Cinzel"/>
                <w:b/>
                <w:bCs/>
                <w:color w:val="1B2A4A"/>
                <w:sz w:val="20"/>
                <w:szCs w:val="20"/>
              </w:rPr>
              <w:t xml:space="preserve">Biophysical Integration — The Cognitive Entropy Law</w:t>
            </w:r>
          </w:p>
          <w:p>
            <w:pPr>
              <w:spacing w:after="80" w:before="0"/>
            </w:pPr>
            <w:r>
              <w:rPr>
                <w:rFonts w:ascii="Cormorant Garamond" w:cs="Cormorant Garamond" w:eastAsia="Cormorant Garamond" w:hAnsi="Cormorant Garamond"/>
                <w:color w:val="1B2A4A"/>
                <w:sz w:val="20"/>
                <w:szCs w:val="20"/>
              </w:rPr>
              <w:t xml:space="preserve">The Cognitive Entropy Law specifies the biological cost of maintaining Autonomy under sustained Resistance: when biological capacity is exhausted, moral collapse can precede character inversion — a distinction no classical framework has drawn. This integrates contemporary neuroscience into a virtue-ethical framework, explaining the difference between the agent who surrenders virtue under extreme oppression and the one who has their virtue extinguished by biological depletion. Moral burnout and moral inversion are structurally distinct; only the DFT formalises the difference.</w:t>
            </w:r>
          </w:p>
          <w:p>
            <w:pPr>
              <w:pBdr>
                <w:left w:val="single" w:color="B8963E" w:sz="10" w:space="6"/>
              </w:pBdr>
              <w:shd w:fill="F0E4C4" w:val="clear"/>
              <w:spacing w:after="60" w:before="60"/>
              <w:ind w:left="0"/>
            </w:pPr>
            <w:r>
              <w:rPr>
                <w:rFonts w:ascii="Cormorant Garamond" w:cs="Cormorant Garamond" w:eastAsia="Cormorant Garamond" w:hAnsi="Cormorant Garamond"/>
                <w:i/>
                <w:iCs/>
                <w:color w:val="1B2A4A"/>
                <w:sz w:val="19"/>
                <w:szCs w:val="19"/>
              </w:rPr>
              <w:t xml:space="preserve">A_eff = A(1 − E_cost / E_max)</w:t>
            </w:r>
          </w:p>
          <w:p>
            <w:pPr>
              <w:spacing w:after="0" w:before="60"/>
            </w:pPr>
            <w:r>
              <w:rPr>
                <w:rFonts w:ascii="Cinzel" w:cs="Cinzel" w:eastAsia="Cinzel" w:hAnsi="Cinzel"/>
                <w:b/>
                <w:bCs/>
                <w:caps/>
                <w:color w:val="B8963E"/>
                <w:spacing w:val="40"/>
                <w:sz w:val="14"/>
                <w:szCs w:val="14"/>
              </w:rPr>
              <w:t xml:space="preserve">  Unique  </w:t>
            </w:r>
            <w:r>
              <w:rPr>
                <w:rFonts w:ascii="Cinzel" w:cs="Cinzel" w:eastAsia="Cinzel" w:hAnsi="Cinzel"/>
                <w:b/>
                <w:bCs/>
                <w:caps/>
                <w:color w:val="B8963E"/>
                <w:spacing w:val="40"/>
                <w:sz w:val="14"/>
                <w:szCs w:val="14"/>
              </w:rPr>
              <w:t xml:space="preserve">  Neuroscientific Confirmation  </w:t>
            </w:r>
          </w:p>
        </w:tc>
      </w:tr>
    </w:tbl>
    <w:p>
      <w:pPr>
        <w:spacing w:after="160" w:before="0"/>
      </w:pPr>
      <w:r>
        <w:t xml:space="preserve"/>
      </w:r>
    </w:p>
    <w:tbl>
      <w:tblPr>
        <w:tblW w:type="dxa" w:w="6590"/>
        <w:tblBorders>
          <w:top w:val="single" w:color="auto" w:sz="4"/>
          <w:left w:val="single" w:color="auto" w:sz="4"/>
          <w:bottom w:val="single" w:color="auto" w:sz="4"/>
          <w:right w:val="single" w:color="auto" w:sz="4"/>
          <w:insideH w:val="single" w:color="auto" w:sz="4"/>
          <w:insideV w:val="single" w:color="auto" w:sz="4"/>
        </w:tblBorders>
      </w:tblPr>
      <w:tblGrid>
        <w:gridCol w:w="700"/>
        <w:gridCol w:w="5890"/>
      </w:tblGrid>
      <w:tr>
        <w:tc>
          <w:tcPr>
            <w:tcW w:type="dxa" w:w="700"/>
            <w:tcBorders>
              <w:top w:val="single" w:color="D4AF6A" w:sz="1"/>
              <w:left w:val="single" w:color="D4AF6A" w:sz="1"/>
              <w:bottom w:val="single" w:color="D4AF6A" w:sz="1"/>
              <w:right w:val="single" w:color="D4AF6A" w:sz="1"/>
            </w:tcBorders>
            <w:shd w:fill="0F1E3A" w:val="clear"/>
            <w:tcMar>
              <w:top w:type="dxa" w:w="140"/>
              <w:left w:type="dxa" w:w="120"/>
              <w:bottom w:type="dxa" w:w="80"/>
              <w:right w:type="dxa" w:w="120"/>
            </w:tcMar>
            <w:vAlign w:val="top"/>
          </w:tcPr>
          <w:p>
            <w:pPr>
              <w:spacing w:after="0" w:before="0"/>
              <w:jc w:val="center"/>
            </w:pPr>
            <w:r>
              <w:rPr>
                <w:rFonts w:ascii="Cinzel" w:cs="Cinzel" w:eastAsia="Cinzel" w:hAnsi="Cinzel"/>
                <w:b/>
                <w:bCs/>
                <w:color w:val="D4AF6A"/>
                <w:sz w:val="28"/>
                <w:szCs w:val="28"/>
              </w:rPr>
              <w:t xml:space="preserve">X</w:t>
            </w:r>
          </w:p>
          <w:p>
            <w:pPr>
              <w:spacing w:after="0" w:before="20"/>
              <w:jc w:val="center"/>
            </w:pPr>
            <w:r>
              <w:rPr>
                <w:rFonts w:ascii="Cinzel" w:cs="Cinzel" w:eastAsia="Cinzel" w:hAnsi="Cinzel"/>
                <w:caps/>
                <w:color w:val="7A6030"/>
                <w:spacing w:val="60"/>
                <w:sz w:val="12"/>
                <w:szCs w:val="12"/>
              </w:rPr>
              <w:t xml:space="preserve">rank</w:t>
            </w:r>
          </w:p>
        </w:tc>
        <w:tc>
          <w:tcPr>
            <w:tcW w:type="dxa" w:w="5890"/>
            <w:tcBorders>
              <w:top w:val="single" w:color="D4AF6A" w:sz="1"/>
              <w:left w:val="single" w:color="D4AF6A" w:sz="1"/>
              <w:bottom w:val="single" w:color="D4AF6A" w:sz="1"/>
              <w:right w:val="single" w:color="D4AF6A" w:sz="1"/>
            </w:tcBorders>
            <w:tcMar>
              <w:top w:type="dxa" w:w="140"/>
              <w:left w:type="dxa" w:w="200"/>
              <w:bottom w:type="dxa" w:w="120"/>
              <w:right w:type="dxa" w:w="160"/>
            </w:tcMar>
          </w:tcPr>
          <w:p>
            <w:pPr>
              <w:spacing w:after="80" w:before="0"/>
            </w:pPr>
            <w:r>
              <w:rPr>
                <w:rFonts w:ascii="Cinzel" w:cs="Cinzel" w:eastAsia="Cinzel" w:hAnsi="Cinzel"/>
                <w:b/>
                <w:bCs/>
                <w:color w:val="1B2A4A"/>
                <w:sz w:val="20"/>
                <w:szCs w:val="20"/>
              </w:rPr>
              <w:t xml:space="preserve">Civilisational Diagnostics — Operational Application</w:t>
            </w:r>
          </w:p>
          <w:p>
            <w:pPr>
              <w:spacing w:after="0" w:before="0"/>
            </w:pPr>
            <w:r>
              <w:rPr>
                <w:rFonts w:ascii="Cormorant Garamond" w:cs="Cormorant Garamond" w:eastAsia="Cormorant Garamond" w:hAnsi="Cormorant Garamond"/>
                <w:color w:val="1B2A4A"/>
                <w:sz w:val="20"/>
                <w:szCs w:val="20"/>
              </w:rPr>
              <w:t xml:space="preserve">The DFT generates, from its formal architecture alone and without additional premises, a complete set of civilisational diagnostic instruments: the Holoviceosis Index, Floating Virtuosity, the Constitutional Law Test, the Design Test, the Virtuogenesis strategy, and the three-stage Holoviceosis staging table. These are not supplements to the theory — they are formal derivations from it. No classical system of virtue ethics generates equivalent operational tools for the evaluation of living societies, legal instruments, and institutional design.</w:t>
            </w:r>
          </w:p>
          <w:p>
            <w:pPr>
              <w:spacing w:after="0" w:before="60"/>
            </w:pPr>
            <w:r>
              <w:rPr>
                <w:rFonts w:ascii="Cinzel" w:cs="Cinzel" w:eastAsia="Cinzel" w:hAnsi="Cinzel"/>
                <w:b/>
                <w:bCs/>
                <w:caps/>
                <w:color w:val="B8963E"/>
                <w:spacing w:val="40"/>
                <w:sz w:val="14"/>
                <w:szCs w:val="14"/>
              </w:rPr>
              <w:t xml:space="preserve">  Formally Derived  </w:t>
            </w:r>
            <w:r>
              <w:rPr>
                <w:rFonts w:ascii="Cinzel" w:cs="Cinzel" w:eastAsia="Cinzel" w:hAnsi="Cinzel"/>
                <w:b/>
                <w:bCs/>
                <w:caps/>
                <w:color w:val="B8963E"/>
                <w:spacing w:val="40"/>
                <w:sz w:val="14"/>
                <w:szCs w:val="14"/>
              </w:rPr>
              <w:t xml:space="preserve">  Institutional Design  </w:t>
            </w:r>
            <w:r>
              <w:rPr>
                <w:rFonts w:ascii="Cinzel" w:cs="Cinzel" w:eastAsia="Cinzel" w:hAnsi="Cinzel"/>
                <w:b/>
                <w:bCs/>
                <w:caps/>
                <w:color w:val="B8963E"/>
                <w:spacing w:val="40"/>
                <w:sz w:val="14"/>
                <w:szCs w:val="14"/>
              </w:rPr>
              <w:t xml:space="preserve">  Measurable Predictions  </w:t>
            </w:r>
          </w:p>
        </w:tc>
      </w:tr>
    </w:tbl>
    <w:p>
      <w:pPr>
        <w:spacing w:after="160" w:before="0"/>
      </w:pPr>
      <w:r>
        <w:t xml:space="preserve"/>
      </w:r>
    </w:p>
    <w:p>
      <w:pPr>
        <w:pBdr>
          <w:bottom w:val="single" w:color="B8963E" w:sz="4" w:space="4"/>
        </w:pBdr>
        <w:spacing w:after="100" w:before="300"/>
      </w:pPr>
      <w:r>
        <w:rPr>
          <w:rFonts w:ascii="Cinzel" w:cs="Cinzel" w:eastAsia="Cinzel" w:hAnsi="Cinzel"/>
          <w:b/>
          <w:bCs/>
          <w:caps/>
          <w:color w:val="B8963E"/>
          <w:spacing w:val="80"/>
          <w:sz w:val="16"/>
          <w:szCs w:val="16"/>
        </w:rPr>
        <w:t xml:space="preserve">Principal Theorem · Summary</w:t>
      </w:r>
    </w:p>
    <w:p>
      <w:pPr>
        <w:spacing w:after="80" w:before="0"/>
      </w:pPr>
      <w:r>
        <w:t xml:space="preserve"/>
      </w:r>
    </w:p>
    <w:tbl>
      <w:tblPr>
        <w:tblW w:type="dxa" w:w="6590"/>
        <w:tblBorders>
          <w:top w:val="single" w:color="auto" w:sz="4"/>
          <w:left w:val="single" w:color="auto" w:sz="4"/>
          <w:bottom w:val="single" w:color="auto" w:sz="4"/>
          <w:right w:val="single" w:color="auto" w:sz="4"/>
          <w:insideH w:val="single" w:color="auto" w:sz="4"/>
          <w:insideV w:val="single" w:color="auto" w:sz="4"/>
        </w:tblBorders>
      </w:tblPr>
      <w:tblGrid>
        <w:gridCol w:w="6590"/>
      </w:tblGrid>
      <w:tr>
        <w:tc>
          <w:tcPr>
            <w:tcW w:type="dxa" w:w="6590"/>
            <w:tcBorders>
              <w:top w:val="single" w:color="B8963E" w:sz="8"/>
              <w:left w:val="none" w:color="FFFFFF" w:sz="0"/>
              <w:bottom w:val="none" w:color="FFFFFF" w:sz="0"/>
              <w:right w:val="none" w:color="FFFFFF" w:sz="0"/>
            </w:tcBorders>
            <w:shd w:fill="0F1E3A" w:val="clear"/>
            <w:tcMar>
              <w:top w:type="dxa" w:w="200"/>
              <w:left w:type="dxa" w:w="240"/>
              <w:bottom w:type="dxa" w:w="200"/>
              <w:right w:type="dxa" w:w="240"/>
            </w:tcMar>
          </w:tcPr>
          <w:p>
            <w:pPr>
              <w:spacing w:after="100" w:before="0"/>
            </w:pPr>
            <w:r>
              <w:rPr>
                <w:rFonts w:ascii="Cinzel" w:cs="Cinzel" w:eastAsia="Cinzel" w:hAnsi="Cinzel"/>
                <w:b/>
                <w:bCs/>
                <w:caps/>
                <w:color w:val="D4AF6A"/>
                <w:spacing w:val="80"/>
                <w:sz w:val="16"/>
                <w:szCs w:val="16"/>
              </w:rPr>
              <w:t xml:space="preserve">The Position of the DFT in the History of Philosophy</w:t>
            </w:r>
          </w:p>
          <w:p>
            <w:pPr>
              <w:spacing w:after="0" w:before="0"/>
            </w:pPr>
            <w:r>
              <w:rPr>
                <w:rFonts w:ascii="Cormorant Garamond" w:cs="Cormorant Garamond" w:eastAsia="Cormorant Garamond" w:hAnsi="Cormorant Garamond"/>
                <w:i/>
                <w:iCs/>
                <w:color w:val="E8DFC8"/>
                <w:sz w:val="20"/>
                <w:szCs w:val="20"/>
              </w:rPr>
              <w:t xml:space="preserve">The prior tradition documented the structure of virtue and the conditions of moral attribution. It described habituation, autonomy, the political conditions of the good life, and the psychological mechanisms of moral failure. It did not formally specify how virtue strength varies under conditions, how it erodes over time, how it propagates through networks, or how it can be recovered after systematic suppression. These were not peripheral questions. They were the questions the tradition left, structurally, unanswered. The Dynamic Freedom Theorem answers them — formally, empirically, and operationally. Where those questions are the relevant ones, the DFT does not take precedence by degree. It takes precedence by default: it is the only instrument that exists.</w:t>
            </w:r>
          </w:p>
        </w:tc>
      </w:tr>
    </w:tbl>
    <w:p>
      <w:pPr>
        <w:spacing w:after="320" w:before="0"/>
      </w:pPr>
      <w:r>
        <w:t xml:space="preserve"/>
      </w:r>
    </w:p>
    <w:sectPr>
      <w:headerReference w:type="default" r:id="rId7"/>
      <w:footerReference w:type="default" r:id="rId8"/>
      <w:pgSz w:w="8390" w:h="11906" w:orient="portrait"/>
      <w:pgMar w:top="900" w:right="900" w:bottom="90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8963E" w:sz="4" w:space="4"/>
      </w:pBdr>
      <w:spacing w:before="0"/>
      <w:jc w:val="center"/>
    </w:pPr>
    <w:r>
      <w:rPr>
        <w:rFonts w:ascii="Cinzel" w:cs="Cinzel" w:eastAsia="Cinzel" w:hAnsi="Cinzel"/>
        <w:color w:val="4A5A74"/>
        <w:sz w:val="14"/>
        <w:szCs w:val="14"/>
      </w:rPr>
      <w:t xml:space="preserve">José Caetano de Mattos  ·  </w:t>
    </w:r>
    <w:r>
      <w:rPr>
        <w:rFonts w:ascii="Cinzel" w:cs="Cinzel" w:eastAsia="Cinzel" w:hAnsi="Cinzel"/>
        <w:color w:val="B8963E"/>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8963E" w:sz="4" w:space="4"/>
      </w:pBdr>
      <w:spacing w:after="0"/>
      <w:jc w:val="center"/>
    </w:pPr>
    <w:r>
      <w:rPr>
        <w:rFonts w:ascii="Cinzel" w:cs="Cinzel" w:eastAsia="Cinzel" w:hAnsi="Cinzel"/>
        <w:color w:val="4A5A74"/>
        <w:spacing w:val="40"/>
        <w:sz w:val="14"/>
        <w:szCs w:val="14"/>
      </w:rPr>
      <w:t xml:space="preserve">Filosofia das Virtudes  ·  Dynamic Freedom Theorem  ·  Domains of Precedence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morant Garamond" w:cs="Cormorant Garamond" w:eastAsia="Cormorant Garamond" w:hAnsi="Cormorant Garamond"/>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2026-05-09T14:55:05.582Z</dcterms:created>
  <dcterms:modified xsi:type="dcterms:W3CDTF">2026-05-09T14:55:05.599Z</dcterms:modified>
</cp:coreProperties>
</file>

<file path=docProps/custom.xml><?xml version="1.0" encoding="utf-8"?>
<Properties xmlns="http://schemas.openxmlformats.org/officeDocument/2006/custom-properties" xmlns:vt="http://schemas.openxmlformats.org/officeDocument/2006/docPropsVTypes"/>
</file>