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DF9B8" w14:textId="77777777" w:rsidR="00DB2249" w:rsidRDefault="008D6D55" w:rsidP="008D6D55">
      <w:pPr>
        <w:jc w:val="center"/>
        <w:rPr>
          <w:sz w:val="40"/>
          <w:szCs w:val="40"/>
        </w:rPr>
      </w:pPr>
      <w:r>
        <w:rPr>
          <w:noProof/>
        </w:rPr>
        <w:drawing>
          <wp:inline distT="0" distB="0" distL="0" distR="0" wp14:anchorId="7E40CF7E" wp14:editId="6094C2FE">
            <wp:extent cx="774700" cy="774700"/>
            <wp:effectExtent l="19050" t="19050" r="25400" b="25400"/>
            <wp:docPr id="1218322888" name="Picture 1" descr="A green logo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322888" name="Picture 1" descr="A green logo with lin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4700" cy="774700"/>
                    </a:xfrm>
                    <a:prstGeom prst="rect">
                      <a:avLst/>
                    </a:prstGeom>
                    <a:ln>
                      <a:solidFill>
                        <a:schemeClr val="tx1"/>
                      </a:solidFill>
                    </a:ln>
                  </pic:spPr>
                </pic:pic>
              </a:graphicData>
            </a:graphic>
          </wp:inline>
        </w:drawing>
      </w:r>
    </w:p>
    <w:p w14:paraId="22C108CA" w14:textId="7D6E4B5C" w:rsidR="00372165" w:rsidRDefault="008D6D55" w:rsidP="008D6D55">
      <w:pPr>
        <w:jc w:val="center"/>
        <w:rPr>
          <w:sz w:val="40"/>
          <w:szCs w:val="40"/>
        </w:rPr>
      </w:pPr>
      <w:r>
        <w:rPr>
          <w:sz w:val="40"/>
          <w:szCs w:val="40"/>
        </w:rPr>
        <w:t>The HOLT Isle of Wight CIC</w:t>
      </w:r>
    </w:p>
    <w:p w14:paraId="56D6D677" w14:textId="030D0263" w:rsidR="008D6D55" w:rsidRDefault="008D6D55" w:rsidP="008D6D55">
      <w:pPr>
        <w:jc w:val="center"/>
        <w:rPr>
          <w:sz w:val="40"/>
          <w:szCs w:val="40"/>
        </w:rPr>
      </w:pPr>
      <w:r>
        <w:rPr>
          <w:sz w:val="40"/>
          <w:szCs w:val="40"/>
        </w:rPr>
        <w:t>Learner Support Policy</w:t>
      </w:r>
    </w:p>
    <w:p w14:paraId="291B2242" w14:textId="77777777" w:rsidR="00DB2249" w:rsidRDefault="00DB2249" w:rsidP="008D6D55">
      <w:pPr>
        <w:jc w:val="center"/>
        <w:rPr>
          <w:sz w:val="40"/>
          <w:szCs w:val="40"/>
        </w:rPr>
      </w:pPr>
    </w:p>
    <w:p w14:paraId="298328FF" w14:textId="7B12287C" w:rsidR="00DB2249" w:rsidRDefault="00DB2249" w:rsidP="00DB2249">
      <w:pPr>
        <w:pStyle w:val="ListParagraph"/>
        <w:numPr>
          <w:ilvl w:val="0"/>
          <w:numId w:val="2"/>
        </w:numPr>
      </w:pPr>
      <w:r>
        <w:t>Scope and Purpose</w:t>
      </w:r>
    </w:p>
    <w:p w14:paraId="3589DF21" w14:textId="77777777" w:rsidR="00DB2249" w:rsidRPr="00DB2249" w:rsidRDefault="00DB2249" w:rsidP="00DB2249">
      <w:pPr>
        <w:ind w:left="360"/>
        <w:rPr>
          <w:sz w:val="40"/>
          <w:szCs w:val="40"/>
        </w:rPr>
      </w:pPr>
      <w:r>
        <w:t xml:space="preserve"> The HOLT Isle of Wight CIC is committed to making reasonable adjustments and offering additional support to ensure that learners, who may otherwise be disadvantaged due to learning difficulties and disabilities and medical conditions, including mental health have an equal chance of completing their programme of learning and achieving successful outcomes. This will be done whilst promoting independence and maintaining dignity. The HOLT recognises learning difficulties and disabilities as defined within the Equality Act 2010. </w:t>
      </w:r>
    </w:p>
    <w:p w14:paraId="654430EA" w14:textId="04156CD5" w:rsidR="00DB2249" w:rsidRDefault="00DB2249" w:rsidP="00DB2249">
      <w:pPr>
        <w:pStyle w:val="ListParagraph"/>
        <w:numPr>
          <w:ilvl w:val="0"/>
          <w:numId w:val="1"/>
        </w:numPr>
      </w:pPr>
      <w:r>
        <w:t xml:space="preserve">Policy Statement </w:t>
      </w:r>
    </w:p>
    <w:p w14:paraId="6C3A047B" w14:textId="77777777" w:rsidR="00DB2249" w:rsidRDefault="00DB2249" w:rsidP="00DB2249">
      <w:pPr>
        <w:ind w:left="360"/>
      </w:pPr>
      <w:r>
        <w:t xml:space="preserve">Loughborough College has an inclusive culture whereby the needs of learners are promoted and supported throughout their learning. Reasonable adjustments will be made by those overseeing teaching and learning within the learning environment. Additional support can be offered based on an assessment of individual need. The HOLT will promote independence by reviewing learners’ needs and </w:t>
      </w:r>
      <w:proofErr w:type="gramStart"/>
      <w:r>
        <w:t>making adjustments to</w:t>
      </w:r>
      <w:proofErr w:type="gramEnd"/>
      <w:r>
        <w:t xml:space="preserve"> levels of support offered. The HOLT has strong links with local authorities and complies with current SEND (Special Educational Needs and Disabilities) legislation to ensure best endeavours are applied throughout a learner’s journey. The HOLT has regard for the SEND Code of Practice (2015) and fulfils its statutory duty towards children and young people (0-25) with SEN or disabilities. </w:t>
      </w:r>
    </w:p>
    <w:p w14:paraId="63CA10ED" w14:textId="526F7158" w:rsidR="00DB2249" w:rsidRDefault="00DB2249" w:rsidP="00DB2249">
      <w:pPr>
        <w:ind w:left="360"/>
      </w:pPr>
      <w:r>
        <w:t xml:space="preserve">The HOLT is committed to eliminating discrimination, promoting equality of opportunity and fostering good relations between disabled and non-disabled children, young people and adults. The HOLT has a published local offer in line with The Special Educational Needs (local offer) Regulations 2014 for more information on services and support. </w:t>
      </w:r>
    </w:p>
    <w:p w14:paraId="2007C338" w14:textId="64D90419" w:rsidR="00DB2249" w:rsidRDefault="00DB2249" w:rsidP="00DB2249">
      <w:pPr>
        <w:pStyle w:val="ListParagraph"/>
        <w:numPr>
          <w:ilvl w:val="0"/>
          <w:numId w:val="1"/>
        </w:numPr>
      </w:pPr>
      <w:r>
        <w:t xml:space="preserve">Definitions </w:t>
      </w:r>
    </w:p>
    <w:p w14:paraId="7040D4B7" w14:textId="77777777" w:rsidR="00DB2249" w:rsidRDefault="00DB2249" w:rsidP="00DB2249">
      <w:pPr>
        <w:ind w:left="360"/>
      </w:pPr>
      <w:r>
        <w:t xml:space="preserve">The HOLT recognises that often words are abbreviated; below are a list if some useful definitions. The reasonable adjustment duty </w:t>
      </w:r>
      <w:proofErr w:type="gramStart"/>
      <w:r>
        <w:t>The</w:t>
      </w:r>
      <w:proofErr w:type="gramEnd"/>
      <w:r>
        <w:t xml:space="preserve"> duty is ‘to take such steps as </w:t>
      </w:r>
      <w:r>
        <w:lastRenderedPageBreak/>
        <w:t xml:space="preserve">it is reasonable to have to take to avoid the substantial disadvantage’ to a disabled person caused by a provision, criterion or practice applied by or on behalf of a college, or by the absence of an auxiliary aid or service. </w:t>
      </w:r>
    </w:p>
    <w:p w14:paraId="21299F47" w14:textId="77777777" w:rsidR="00DB2249" w:rsidRDefault="00DB2249" w:rsidP="00DB2249">
      <w:pPr>
        <w:ind w:left="360"/>
      </w:pPr>
      <w:r>
        <w:t xml:space="preserve">In the Equality Act </w:t>
      </w:r>
      <w:proofErr w:type="gramStart"/>
      <w:r>
        <w:t>2010 as a whole, there</w:t>
      </w:r>
      <w:proofErr w:type="gramEnd"/>
      <w:r>
        <w:t xml:space="preserve"> are three elements to the reasonable adjustments duty that relate to: </w:t>
      </w:r>
    </w:p>
    <w:p w14:paraId="4EBD8F8B" w14:textId="77777777" w:rsidR="00DB2249" w:rsidRDefault="00DB2249" w:rsidP="00DB2249">
      <w:pPr>
        <w:ind w:left="360"/>
      </w:pPr>
      <w:r>
        <w:t xml:space="preserve">• Provisions, criteria and practice </w:t>
      </w:r>
    </w:p>
    <w:p w14:paraId="6C24F6D3" w14:textId="77777777" w:rsidR="00DB2249" w:rsidRDefault="00DB2249" w:rsidP="00DB2249">
      <w:pPr>
        <w:ind w:left="360"/>
      </w:pPr>
      <w:r>
        <w:t xml:space="preserve">• Auxiliary aids and services </w:t>
      </w:r>
    </w:p>
    <w:p w14:paraId="7743C3D1" w14:textId="77777777" w:rsidR="003962CB" w:rsidRDefault="00DB2249" w:rsidP="00DB2249">
      <w:pPr>
        <w:ind w:left="360"/>
      </w:pPr>
      <w:r>
        <w:t xml:space="preserve">• Physical features </w:t>
      </w:r>
    </w:p>
    <w:p w14:paraId="35941365" w14:textId="77777777" w:rsidR="003962CB" w:rsidRDefault="00DB2249" w:rsidP="00DB2249">
      <w:pPr>
        <w:ind w:left="360"/>
      </w:pPr>
      <w:r>
        <w:t xml:space="preserve">Best Endeavours </w:t>
      </w:r>
    </w:p>
    <w:p w14:paraId="1DA96705" w14:textId="77777777" w:rsidR="003962CB" w:rsidRDefault="00DB2249" w:rsidP="00DB2249">
      <w:pPr>
        <w:ind w:left="360"/>
      </w:pPr>
      <w:r>
        <w:t>Some children and young people need educational provision that is additional to or different from that which is usually provided. This is special educational provision under Section 21 of the Children and Families Act 2014. Schools and colleges must use their best endeavours</w:t>
      </w:r>
      <w:r w:rsidR="003962CB">
        <w:t xml:space="preserve"> </w:t>
      </w:r>
      <w:r>
        <w:t>to ensure that</w:t>
      </w:r>
      <w:r w:rsidR="003962CB">
        <w:t xml:space="preserve"> </w:t>
      </w:r>
      <w:r>
        <w:t>such provision is made for</w:t>
      </w:r>
      <w:r w:rsidR="003962CB">
        <w:t xml:space="preserve"> </w:t>
      </w:r>
      <w:r>
        <w:t xml:space="preserve">those who need it. Special educational provision is underpinned by high quality teaching and is compromised by anything less. LDD Learning difficulties/disabilities SEND Special education needs and disabilities EHCP Education health and care plan SPLD Specific learning difficulties </w:t>
      </w:r>
    </w:p>
    <w:p w14:paraId="2483B91D" w14:textId="6C616340" w:rsidR="003962CB" w:rsidRDefault="00DB2249" w:rsidP="003962CB">
      <w:pPr>
        <w:pStyle w:val="ListParagraph"/>
        <w:numPr>
          <w:ilvl w:val="0"/>
          <w:numId w:val="1"/>
        </w:numPr>
      </w:pPr>
      <w:r>
        <w:t xml:space="preserve">Legislation </w:t>
      </w:r>
    </w:p>
    <w:p w14:paraId="05A476FD" w14:textId="77777777" w:rsidR="003962CB" w:rsidRDefault="00DB2249" w:rsidP="003962CB">
      <w:pPr>
        <w:ind w:left="360"/>
      </w:pPr>
      <w:r>
        <w:t xml:space="preserve">The </w:t>
      </w:r>
      <w:r w:rsidR="003962CB">
        <w:t>HOLT</w:t>
      </w:r>
      <w:r>
        <w:t xml:space="preserve"> complies with disability and SEND legislation; further guidance around special educational needs and disabilities, within education, can be found within the following legislation. (This is not an exhaustive list) </w:t>
      </w:r>
    </w:p>
    <w:p w14:paraId="6347B3EB" w14:textId="77777777" w:rsidR="003962CB" w:rsidRDefault="00DB2249" w:rsidP="003962CB">
      <w:pPr>
        <w:ind w:left="360"/>
      </w:pPr>
      <w:r>
        <w:t>• Children and Families Act 2014</w:t>
      </w:r>
    </w:p>
    <w:p w14:paraId="11B990CC" w14:textId="77777777" w:rsidR="003962CB" w:rsidRDefault="00DB2249" w:rsidP="003962CB">
      <w:pPr>
        <w:ind w:left="360"/>
      </w:pPr>
      <w:r>
        <w:t xml:space="preserve"> • SEND Code of Practice 2015</w:t>
      </w:r>
    </w:p>
    <w:p w14:paraId="3E6960B1" w14:textId="77777777" w:rsidR="003962CB" w:rsidRDefault="00DB2249" w:rsidP="003962CB">
      <w:pPr>
        <w:ind w:left="360"/>
      </w:pPr>
      <w:r>
        <w:t xml:space="preserve"> • Special Educational Needs and Disability regulations 2015</w:t>
      </w:r>
    </w:p>
    <w:p w14:paraId="3E7008EA" w14:textId="77777777" w:rsidR="003962CB" w:rsidRDefault="00DB2249" w:rsidP="003962CB">
      <w:pPr>
        <w:ind w:left="360"/>
      </w:pPr>
      <w:r>
        <w:t xml:space="preserve"> • Equality Act 2010 </w:t>
      </w:r>
    </w:p>
    <w:p w14:paraId="494A01DF" w14:textId="77777777" w:rsidR="003962CB" w:rsidRDefault="00DB2249" w:rsidP="003962CB">
      <w:pPr>
        <w:ind w:left="360"/>
      </w:pPr>
      <w:r>
        <w:t xml:space="preserve">• Mental Capacity Act 2005 </w:t>
      </w:r>
    </w:p>
    <w:p w14:paraId="44370D86" w14:textId="77777777" w:rsidR="003962CB" w:rsidRDefault="00DB2249" w:rsidP="003962CB">
      <w:pPr>
        <w:ind w:left="360"/>
      </w:pPr>
      <w:r>
        <w:t xml:space="preserve">• Education Act 1996, 2002 5. </w:t>
      </w:r>
    </w:p>
    <w:p w14:paraId="420F160A" w14:textId="77777777" w:rsidR="003962CB" w:rsidRDefault="00DB2249" w:rsidP="003962CB">
      <w:pPr>
        <w:ind w:left="360"/>
      </w:pPr>
      <w:r>
        <w:t xml:space="preserve">Procedure </w:t>
      </w:r>
    </w:p>
    <w:p w14:paraId="1A2518F6" w14:textId="23D3ADA8" w:rsidR="008D6D55" w:rsidRDefault="00DB2249" w:rsidP="003962CB">
      <w:pPr>
        <w:ind w:left="360"/>
      </w:pPr>
      <w:r>
        <w:t xml:space="preserve">Potential learners are encouraged to declare learning difficulties/disabilities at the earliest opportunity to ensure that the </w:t>
      </w:r>
      <w:r w:rsidR="003962CB">
        <w:t>HOLT</w:t>
      </w:r>
      <w:r>
        <w:t xml:space="preserve"> </w:t>
      </w:r>
      <w:proofErr w:type="gramStart"/>
      <w:r>
        <w:t>is able to</w:t>
      </w:r>
      <w:proofErr w:type="gramEnd"/>
      <w:r>
        <w:t xml:space="preserve"> put in place reasonable adjustments and use best endeavours to allocate the right support at the right time. Learners </w:t>
      </w:r>
      <w:proofErr w:type="gramStart"/>
      <w:r>
        <w:t>have the opportunity to</w:t>
      </w:r>
      <w:proofErr w:type="gramEnd"/>
      <w:r>
        <w:t xml:space="preserve"> declare any support needs, learning difficulties or disabilities from the application stage</w:t>
      </w:r>
      <w:r w:rsidR="003962CB">
        <w:t>.</w:t>
      </w:r>
    </w:p>
    <w:p w14:paraId="4F704B1E" w14:textId="77777777" w:rsidR="003962CB" w:rsidRDefault="003962CB" w:rsidP="003962CB">
      <w:pPr>
        <w:ind w:left="360"/>
      </w:pPr>
      <w:r>
        <w:lastRenderedPageBreak/>
        <w:t xml:space="preserve">For more information about support relating to exam concessions, please see the exam access arrangements policy. </w:t>
      </w:r>
    </w:p>
    <w:p w14:paraId="5D34316C" w14:textId="77777777" w:rsidR="003962CB" w:rsidRDefault="003962CB" w:rsidP="003962CB">
      <w:pPr>
        <w:ind w:left="360"/>
      </w:pPr>
      <w:r>
        <w:t xml:space="preserve">For learners that have not declared a learning difficulty or disability at the application stage but present as requiring additional support within their studies, as observed by their tutors, the staff member will be encouraged to make an appointment for an initial assessment of need.  The curriculum staff will discuss this with the learner in the first instance. The support recommended may not always be </w:t>
      </w:r>
      <w:proofErr w:type="gramStart"/>
      <w:r>
        <w:t>exactly the same</w:t>
      </w:r>
      <w:proofErr w:type="gramEnd"/>
      <w:r>
        <w:t xml:space="preserve"> as that which learners have received at previous schools. At the HOLT our aim is to support learners to be as independent with their learning as possible, which includes reviewing and looking at alternative support mechanisms that allow them to learn, and not be disadvantaged, whilst developing independent learning skills. </w:t>
      </w:r>
    </w:p>
    <w:p w14:paraId="0952E5FE" w14:textId="77777777" w:rsidR="003962CB" w:rsidRDefault="003962CB" w:rsidP="003962CB">
      <w:pPr>
        <w:ind w:left="360"/>
      </w:pPr>
      <w:r>
        <w:t xml:space="preserve">Learners have the right to refuse any additional support suggested and offered at any time. </w:t>
      </w:r>
    </w:p>
    <w:p w14:paraId="64C78606" w14:textId="77777777" w:rsidR="003962CB" w:rsidRDefault="003962CB" w:rsidP="003962CB">
      <w:pPr>
        <w:ind w:left="360"/>
      </w:pPr>
      <w:r>
        <w:t xml:space="preserve">6. Key partners </w:t>
      </w:r>
    </w:p>
    <w:p w14:paraId="135081CE" w14:textId="25C20465" w:rsidR="003962CB" w:rsidRDefault="003962CB" w:rsidP="003962CB">
      <w:pPr>
        <w:ind w:left="360"/>
      </w:pPr>
      <w:r>
        <w:t>The HOLT mainly works with (but is not limited to working with) the following local authorities in relation to learners with Education Health and Care plans and those that require further element 3 top up funding from the local authority (“High Needs” learners):</w:t>
      </w:r>
    </w:p>
    <w:p w14:paraId="77E35B42" w14:textId="67C98491" w:rsidR="003962CB" w:rsidRDefault="003962CB" w:rsidP="003962CB">
      <w:pPr>
        <w:ind w:left="360"/>
      </w:pPr>
      <w:r>
        <w:t>Hampshire County Council</w:t>
      </w:r>
    </w:p>
    <w:p w14:paraId="5A184D52" w14:textId="76CC04E4" w:rsidR="003962CB" w:rsidRDefault="003962CB" w:rsidP="003962CB">
      <w:pPr>
        <w:ind w:left="360"/>
      </w:pPr>
      <w:r>
        <w:t>Isle of Wight County Council</w:t>
      </w:r>
    </w:p>
    <w:p w14:paraId="5C1A8EA3" w14:textId="77777777" w:rsidR="003962CB" w:rsidRDefault="003962CB" w:rsidP="003962CB">
      <w:pPr>
        <w:ind w:left="360"/>
      </w:pPr>
    </w:p>
    <w:p w14:paraId="5DA815B2" w14:textId="5E9D7CF3" w:rsidR="003962CB" w:rsidRDefault="003962CB" w:rsidP="003962CB">
      <w:pPr>
        <w:ind w:left="360"/>
      </w:pPr>
      <w:r>
        <w:t>Policy created by Juliet Bell</w:t>
      </w:r>
    </w:p>
    <w:p w14:paraId="01888D57" w14:textId="19DBDDCB" w:rsidR="003962CB" w:rsidRDefault="003962CB" w:rsidP="003962CB">
      <w:pPr>
        <w:ind w:left="360"/>
      </w:pPr>
      <w:r>
        <w:t xml:space="preserve">Date: </w:t>
      </w:r>
      <w:r w:rsidR="00347DCA">
        <w:t>02/02/2026</w:t>
      </w:r>
    </w:p>
    <w:p w14:paraId="5FA8B067" w14:textId="7EDAA282" w:rsidR="003962CB" w:rsidRPr="003962CB" w:rsidRDefault="003962CB" w:rsidP="003962CB">
      <w:pPr>
        <w:ind w:left="360"/>
        <w:rPr>
          <w:sz w:val="40"/>
          <w:szCs w:val="40"/>
        </w:rPr>
      </w:pPr>
      <w:r>
        <w:t>Review date: 01/</w:t>
      </w:r>
      <w:r w:rsidR="00347DCA">
        <w:t>02/2027</w:t>
      </w:r>
    </w:p>
    <w:p w14:paraId="2B8E3F50" w14:textId="77777777" w:rsidR="008D6D55" w:rsidRPr="008D6D55" w:rsidRDefault="008D6D55" w:rsidP="008D6D55">
      <w:pPr>
        <w:rPr>
          <w:sz w:val="32"/>
          <w:szCs w:val="32"/>
        </w:rPr>
      </w:pPr>
    </w:p>
    <w:sectPr w:rsidR="008D6D55" w:rsidRPr="008D6D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23696"/>
    <w:multiLevelType w:val="hybridMultilevel"/>
    <w:tmpl w:val="BB60C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AE0A39"/>
    <w:multiLevelType w:val="hybridMultilevel"/>
    <w:tmpl w:val="1756B428"/>
    <w:lvl w:ilvl="0" w:tplc="E5C43A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9014039">
    <w:abstractNumId w:val="0"/>
  </w:num>
  <w:num w:numId="2" w16cid:durableId="819006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55"/>
    <w:rsid w:val="0003703F"/>
    <w:rsid w:val="002B4D9B"/>
    <w:rsid w:val="00347DCA"/>
    <w:rsid w:val="00372165"/>
    <w:rsid w:val="003962CB"/>
    <w:rsid w:val="003C5CFE"/>
    <w:rsid w:val="008D6D55"/>
    <w:rsid w:val="009B2978"/>
    <w:rsid w:val="00DB2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6E40"/>
  <w15:chartTrackingRefBased/>
  <w15:docId w15:val="{6D15CEC7-7A54-4932-BAE1-CA200C38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D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D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D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D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D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D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D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D55"/>
    <w:rPr>
      <w:rFonts w:eastAsiaTheme="majorEastAsia" w:cstheme="majorBidi"/>
      <w:color w:val="272727" w:themeColor="text1" w:themeTint="D8"/>
    </w:rPr>
  </w:style>
  <w:style w:type="paragraph" w:styleId="Title">
    <w:name w:val="Title"/>
    <w:basedOn w:val="Normal"/>
    <w:next w:val="Normal"/>
    <w:link w:val="TitleChar"/>
    <w:uiPriority w:val="10"/>
    <w:qFormat/>
    <w:rsid w:val="008D6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D55"/>
    <w:pPr>
      <w:spacing w:before="160"/>
      <w:jc w:val="center"/>
    </w:pPr>
    <w:rPr>
      <w:i/>
      <w:iCs/>
      <w:color w:val="404040" w:themeColor="text1" w:themeTint="BF"/>
    </w:rPr>
  </w:style>
  <w:style w:type="character" w:customStyle="1" w:styleId="QuoteChar">
    <w:name w:val="Quote Char"/>
    <w:basedOn w:val="DefaultParagraphFont"/>
    <w:link w:val="Quote"/>
    <w:uiPriority w:val="29"/>
    <w:rsid w:val="008D6D55"/>
    <w:rPr>
      <w:i/>
      <w:iCs/>
      <w:color w:val="404040" w:themeColor="text1" w:themeTint="BF"/>
    </w:rPr>
  </w:style>
  <w:style w:type="paragraph" w:styleId="ListParagraph">
    <w:name w:val="List Paragraph"/>
    <w:basedOn w:val="Normal"/>
    <w:uiPriority w:val="34"/>
    <w:qFormat/>
    <w:rsid w:val="008D6D55"/>
    <w:pPr>
      <w:ind w:left="720"/>
      <w:contextualSpacing/>
    </w:pPr>
  </w:style>
  <w:style w:type="character" w:styleId="IntenseEmphasis">
    <w:name w:val="Intense Emphasis"/>
    <w:basedOn w:val="DefaultParagraphFont"/>
    <w:uiPriority w:val="21"/>
    <w:qFormat/>
    <w:rsid w:val="008D6D55"/>
    <w:rPr>
      <w:i/>
      <w:iCs/>
      <w:color w:val="0F4761" w:themeColor="accent1" w:themeShade="BF"/>
    </w:rPr>
  </w:style>
  <w:style w:type="paragraph" w:styleId="IntenseQuote">
    <w:name w:val="Intense Quote"/>
    <w:basedOn w:val="Normal"/>
    <w:next w:val="Normal"/>
    <w:link w:val="IntenseQuoteChar"/>
    <w:uiPriority w:val="30"/>
    <w:qFormat/>
    <w:rsid w:val="008D6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D55"/>
    <w:rPr>
      <w:i/>
      <w:iCs/>
      <w:color w:val="0F4761" w:themeColor="accent1" w:themeShade="BF"/>
    </w:rPr>
  </w:style>
  <w:style w:type="character" w:styleId="IntenseReference">
    <w:name w:val="Intense Reference"/>
    <w:basedOn w:val="DefaultParagraphFont"/>
    <w:uiPriority w:val="32"/>
    <w:qFormat/>
    <w:rsid w:val="008D6D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Bell</dc:creator>
  <cp:keywords/>
  <dc:description/>
  <cp:lastModifiedBy>Ju Bell</cp:lastModifiedBy>
  <cp:revision>2</cp:revision>
  <dcterms:created xsi:type="dcterms:W3CDTF">2026-02-10T11:39:00Z</dcterms:created>
  <dcterms:modified xsi:type="dcterms:W3CDTF">2026-02-10T11:39:00Z</dcterms:modified>
</cp:coreProperties>
</file>