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86F4" w14:textId="2A13784B" w:rsidR="007058E1" w:rsidRDefault="007058E1" w:rsidP="007058E1">
      <w:pPr>
        <w:jc w:val="center"/>
        <w:rPr>
          <w:sz w:val="32"/>
          <w:szCs w:val="32"/>
        </w:rPr>
      </w:pPr>
      <w:r>
        <w:rPr>
          <w:noProof/>
          <w:sz w:val="32"/>
          <w:szCs w:val="32"/>
        </w:rPr>
        <w:drawing>
          <wp:inline distT="0" distB="0" distL="0" distR="0" wp14:anchorId="432DE291" wp14:editId="7DAE7D8D">
            <wp:extent cx="1320800" cy="943849"/>
            <wp:effectExtent l="0" t="0" r="0" b="8890"/>
            <wp:docPr id="199131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19478" name="Picture 19913194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902" cy="950354"/>
                    </a:xfrm>
                    <a:prstGeom prst="rect">
                      <a:avLst/>
                    </a:prstGeom>
                  </pic:spPr>
                </pic:pic>
              </a:graphicData>
            </a:graphic>
          </wp:inline>
        </w:drawing>
      </w:r>
    </w:p>
    <w:p w14:paraId="76F1757C" w14:textId="1A81F5EF" w:rsidR="00754DB3" w:rsidRDefault="007058E1" w:rsidP="007058E1">
      <w:pPr>
        <w:jc w:val="center"/>
        <w:rPr>
          <w:sz w:val="32"/>
          <w:szCs w:val="32"/>
        </w:rPr>
      </w:pPr>
      <w:r>
        <w:rPr>
          <w:sz w:val="32"/>
          <w:szCs w:val="32"/>
        </w:rPr>
        <w:t>The HOLT Prevent Duty Arrangements</w:t>
      </w:r>
    </w:p>
    <w:p w14:paraId="01316466" w14:textId="77777777" w:rsidR="007058E1" w:rsidRPr="007058E1" w:rsidRDefault="007058E1" w:rsidP="007058E1">
      <w:pPr>
        <w:shd w:val="clear" w:color="auto" w:fill="FFFFFF"/>
        <w:spacing w:after="0" w:line="240" w:lineRule="auto"/>
        <w:textAlignment w:val="baseline"/>
        <w:outlineLvl w:val="2"/>
        <w:rPr>
          <w:rFonts w:ascii="Raleway" w:eastAsia="Times New Roman" w:hAnsi="Raleway" w:cs="Times New Roman"/>
          <w:b/>
          <w:bCs/>
          <w:color w:val="00B9ED"/>
          <w:kern w:val="0"/>
          <w:sz w:val="37"/>
          <w:szCs w:val="37"/>
          <w:lang w:eastAsia="en-GB"/>
          <w14:ligatures w14:val="none"/>
        </w:rPr>
      </w:pPr>
      <w:r w:rsidRPr="007058E1">
        <w:rPr>
          <w:rFonts w:ascii="inherit" w:eastAsia="Times New Roman" w:hAnsi="inherit" w:cs="Times New Roman"/>
          <w:b/>
          <w:bCs/>
          <w:i/>
          <w:iCs/>
          <w:color w:val="00B9ED"/>
          <w:kern w:val="0"/>
          <w:sz w:val="37"/>
          <w:szCs w:val="37"/>
          <w:bdr w:val="none" w:sz="0" w:space="0" w:color="auto" w:frame="1"/>
          <w:lang w:eastAsia="en-GB"/>
          <w14:ligatures w14:val="none"/>
        </w:rPr>
        <w:t>PREVENT</w:t>
      </w:r>
    </w:p>
    <w:p w14:paraId="5EE558EC" w14:textId="77777777" w:rsidR="007058E1" w:rsidRPr="007058E1" w:rsidRDefault="007058E1" w:rsidP="007058E1">
      <w:pPr>
        <w:shd w:val="clear" w:color="auto" w:fill="FFFFFF"/>
        <w:spacing w:after="0" w:line="240" w:lineRule="auto"/>
        <w:textAlignment w:val="baseline"/>
        <w:rPr>
          <w:rFonts w:ascii="Helvetica" w:eastAsia="Times New Roman" w:hAnsi="Helvetica" w:cs="Helvetica"/>
          <w:color w:val="000000"/>
          <w:kern w:val="0"/>
          <w:sz w:val="23"/>
          <w:szCs w:val="23"/>
          <w:lang w:eastAsia="en-GB"/>
          <w14:ligatures w14:val="none"/>
        </w:rPr>
      </w:pPr>
      <w:r w:rsidRPr="007058E1">
        <w:rPr>
          <w:rFonts w:ascii="Helvetica" w:eastAsia="Times New Roman" w:hAnsi="Helvetica" w:cs="Helvetica"/>
          <w:color w:val="000000"/>
          <w:kern w:val="0"/>
          <w:sz w:val="23"/>
          <w:szCs w:val="23"/>
          <w:lang w:eastAsia="en-GB"/>
          <w14:ligatures w14:val="none"/>
        </w:rPr>
        <w:t>The Government’s </w:t>
      </w:r>
      <w:r w:rsidRPr="007058E1">
        <w:rPr>
          <w:rFonts w:ascii="inherit" w:eastAsia="Times New Roman" w:hAnsi="inherit" w:cs="Helvetica"/>
          <w:i/>
          <w:iCs/>
          <w:color w:val="000000"/>
          <w:kern w:val="0"/>
          <w:sz w:val="23"/>
          <w:szCs w:val="23"/>
          <w:bdr w:val="none" w:sz="0" w:space="0" w:color="auto" w:frame="1"/>
          <w:lang w:eastAsia="en-GB"/>
          <w14:ligatures w14:val="none"/>
        </w:rPr>
        <w:t>PREVENT</w:t>
      </w:r>
      <w:r w:rsidRPr="007058E1">
        <w:rPr>
          <w:rFonts w:ascii="Helvetica" w:eastAsia="Times New Roman" w:hAnsi="Helvetica" w:cs="Helvetica"/>
          <w:color w:val="000000"/>
          <w:kern w:val="0"/>
          <w:sz w:val="23"/>
          <w:szCs w:val="23"/>
          <w:lang w:eastAsia="en-GB"/>
          <w14:ligatures w14:val="none"/>
        </w:rPr>
        <w:t> strategy is a key part of its counter-terrorism strategy called Contest. It aims to stop people becoming terrorists or supporting terrorism and seeks to respond to the ideological challenge of terrorism and the threat posed by those who promote it. It aims to prevent people from being drawn into terrorism and to work with sectors and institutions where there are risks of radicalisation.</w:t>
      </w:r>
    </w:p>
    <w:p w14:paraId="1F913499" w14:textId="77777777" w:rsidR="007058E1" w:rsidRDefault="007058E1" w:rsidP="007058E1">
      <w:pPr>
        <w:shd w:val="clear" w:color="auto" w:fill="FFFFFF"/>
        <w:spacing w:after="0" w:line="240" w:lineRule="auto"/>
        <w:textAlignment w:val="baseline"/>
        <w:rPr>
          <w:rFonts w:ascii="Helvetica" w:eastAsia="Times New Roman" w:hAnsi="Helvetica" w:cs="Helvetica"/>
          <w:color w:val="000000"/>
          <w:kern w:val="0"/>
          <w:sz w:val="23"/>
          <w:szCs w:val="23"/>
          <w:lang w:eastAsia="en-GB"/>
          <w14:ligatures w14:val="none"/>
        </w:rPr>
      </w:pPr>
      <w:hyperlink r:id="rId5" w:tgtFrame="_blank" w:history="1">
        <w:r w:rsidRPr="007058E1">
          <w:rPr>
            <w:rFonts w:ascii="inherit" w:eastAsia="Times New Roman" w:hAnsi="inherit" w:cs="Helvetica"/>
            <w:color w:val="000000"/>
            <w:kern w:val="0"/>
            <w:sz w:val="23"/>
            <w:szCs w:val="23"/>
            <w:u w:val="single"/>
            <w:bdr w:val="none" w:sz="0" w:space="0" w:color="auto" w:frame="1"/>
            <w:lang w:eastAsia="en-GB"/>
            <w14:ligatures w14:val="none"/>
          </w:rPr>
          <w:t>Prevent Strategy (2011)</w:t>
        </w:r>
      </w:hyperlink>
    </w:p>
    <w:p w14:paraId="0AC4F12F" w14:textId="77777777" w:rsidR="007058E1" w:rsidRDefault="007058E1" w:rsidP="007058E1">
      <w:pPr>
        <w:shd w:val="clear" w:color="auto" w:fill="FFFFFF"/>
        <w:spacing w:after="0" w:line="240" w:lineRule="auto"/>
        <w:textAlignment w:val="baseline"/>
        <w:rPr>
          <w:rFonts w:ascii="Helvetica" w:eastAsia="Times New Roman" w:hAnsi="Helvetica" w:cs="Helvetica"/>
          <w:color w:val="000000"/>
          <w:kern w:val="0"/>
          <w:sz w:val="23"/>
          <w:szCs w:val="23"/>
          <w:lang w:eastAsia="en-GB"/>
          <w14:ligatures w14:val="none"/>
        </w:rPr>
      </w:pPr>
    </w:p>
    <w:p w14:paraId="08949776" w14:textId="77777777" w:rsidR="007058E1" w:rsidRPr="007058E1" w:rsidRDefault="007058E1" w:rsidP="007058E1">
      <w:pPr>
        <w:shd w:val="clear" w:color="auto" w:fill="FFFFFF"/>
        <w:spacing w:after="0" w:line="240" w:lineRule="auto"/>
        <w:textAlignment w:val="baseline"/>
        <w:rPr>
          <w:rFonts w:ascii="Helvetica" w:eastAsia="Times New Roman" w:hAnsi="Helvetica" w:cs="Helvetica"/>
          <w:color w:val="000000"/>
          <w:kern w:val="0"/>
          <w:sz w:val="23"/>
          <w:szCs w:val="23"/>
          <w:lang w:eastAsia="en-GB"/>
          <w14:ligatures w14:val="none"/>
        </w:rPr>
      </w:pPr>
    </w:p>
    <w:p w14:paraId="0C539816" w14:textId="77777777" w:rsidR="007058E1" w:rsidRPr="007058E1" w:rsidRDefault="007058E1" w:rsidP="007058E1">
      <w:pPr>
        <w:shd w:val="clear" w:color="auto" w:fill="FFFFFF"/>
        <w:spacing w:after="96" w:line="240" w:lineRule="auto"/>
        <w:textAlignment w:val="baseline"/>
        <w:outlineLvl w:val="2"/>
        <w:rPr>
          <w:rFonts w:ascii="Raleway" w:eastAsia="Times New Roman" w:hAnsi="Raleway" w:cs="Times New Roman"/>
          <w:b/>
          <w:bCs/>
          <w:color w:val="00B9ED"/>
          <w:kern w:val="0"/>
          <w:sz w:val="37"/>
          <w:szCs w:val="37"/>
          <w:lang w:eastAsia="en-GB"/>
          <w14:ligatures w14:val="none"/>
        </w:rPr>
      </w:pPr>
      <w:r w:rsidRPr="007058E1">
        <w:rPr>
          <w:rFonts w:ascii="Raleway" w:eastAsia="Times New Roman" w:hAnsi="Raleway" w:cs="Times New Roman"/>
          <w:b/>
          <w:bCs/>
          <w:color w:val="00B9ED"/>
          <w:kern w:val="0"/>
          <w:sz w:val="37"/>
          <w:szCs w:val="37"/>
          <w:lang w:eastAsia="en-GB"/>
          <w14:ligatures w14:val="none"/>
        </w:rPr>
        <w:t>Counter Terrorism and Security Act 2015</w:t>
      </w:r>
    </w:p>
    <w:p w14:paraId="7DFE2B67" w14:textId="77777777" w:rsidR="007058E1" w:rsidRPr="007058E1" w:rsidRDefault="007058E1" w:rsidP="007058E1">
      <w:pPr>
        <w:shd w:val="clear" w:color="auto" w:fill="FFFFFF"/>
        <w:spacing w:after="360" w:line="240" w:lineRule="auto"/>
        <w:textAlignment w:val="baseline"/>
        <w:rPr>
          <w:rFonts w:ascii="Helvetica" w:eastAsia="Times New Roman" w:hAnsi="Helvetica" w:cs="Helvetica"/>
          <w:color w:val="000000"/>
          <w:kern w:val="0"/>
          <w:sz w:val="23"/>
          <w:szCs w:val="23"/>
          <w:lang w:eastAsia="en-GB"/>
          <w14:ligatures w14:val="none"/>
        </w:rPr>
      </w:pPr>
      <w:r w:rsidRPr="007058E1">
        <w:rPr>
          <w:rFonts w:ascii="Helvetica" w:eastAsia="Times New Roman" w:hAnsi="Helvetica" w:cs="Helvetica"/>
          <w:color w:val="000000"/>
          <w:kern w:val="0"/>
          <w:sz w:val="23"/>
          <w:szCs w:val="23"/>
          <w:lang w:eastAsia="en-GB"/>
          <w14:ligatures w14:val="none"/>
        </w:rPr>
        <w:t>The Counter Terrorism and Security Act (CTSA) 2015 came into force in July 2015. It creates a statutory duty to have due regard to the need to prevent people from being drawn into terrorism.  This duty applies to public bodies (such as local authorities, police, some NHS bodies, schools, further and higher education providers, probation, prisons and youth offender services. The duty also applies to private providers supplying public functions for example, in the education sector.  The local authority has a duty to lead the coordination of local partners in actively preventing people from being drawn into terrorism.</w:t>
      </w:r>
    </w:p>
    <w:p w14:paraId="1AD3FD17" w14:textId="77777777" w:rsidR="007058E1" w:rsidRPr="007058E1" w:rsidRDefault="007058E1" w:rsidP="007058E1">
      <w:pPr>
        <w:shd w:val="clear" w:color="auto" w:fill="FFFFFF"/>
        <w:spacing w:after="360" w:line="240" w:lineRule="auto"/>
        <w:textAlignment w:val="baseline"/>
        <w:rPr>
          <w:rFonts w:ascii="Helvetica" w:eastAsia="Times New Roman" w:hAnsi="Helvetica" w:cs="Helvetica"/>
          <w:color w:val="000000"/>
          <w:kern w:val="0"/>
          <w:sz w:val="23"/>
          <w:szCs w:val="23"/>
          <w:lang w:eastAsia="en-GB"/>
          <w14:ligatures w14:val="none"/>
        </w:rPr>
      </w:pPr>
      <w:r w:rsidRPr="007058E1">
        <w:rPr>
          <w:rFonts w:ascii="Helvetica" w:eastAsia="Times New Roman" w:hAnsi="Helvetica" w:cs="Helvetica"/>
          <w:color w:val="000000"/>
          <w:kern w:val="0"/>
          <w:sz w:val="23"/>
          <w:szCs w:val="23"/>
          <w:lang w:eastAsia="en-GB"/>
          <w14:ligatures w14:val="none"/>
        </w:rPr>
        <w:t>Counter Terrorism and Security Act (2015)</w:t>
      </w:r>
    </w:p>
    <w:p w14:paraId="1CC35F0F" w14:textId="77777777" w:rsidR="007058E1" w:rsidRPr="007058E1" w:rsidRDefault="007058E1" w:rsidP="007058E1">
      <w:pPr>
        <w:shd w:val="clear" w:color="auto" w:fill="FFFFFF"/>
        <w:spacing w:after="0" w:line="240" w:lineRule="auto"/>
        <w:textAlignment w:val="baseline"/>
        <w:outlineLvl w:val="2"/>
        <w:rPr>
          <w:rFonts w:ascii="Raleway" w:eastAsia="Times New Roman" w:hAnsi="Raleway" w:cs="Times New Roman"/>
          <w:b/>
          <w:bCs/>
          <w:color w:val="00B9ED"/>
          <w:kern w:val="0"/>
          <w:sz w:val="37"/>
          <w:szCs w:val="37"/>
          <w:lang w:eastAsia="en-GB"/>
          <w14:ligatures w14:val="none"/>
        </w:rPr>
      </w:pPr>
      <w:r w:rsidRPr="007058E1">
        <w:rPr>
          <w:rFonts w:ascii="Raleway" w:eastAsia="Times New Roman" w:hAnsi="Raleway" w:cs="Times New Roman"/>
          <w:b/>
          <w:bCs/>
          <w:color w:val="00B9ED"/>
          <w:kern w:val="0"/>
          <w:sz w:val="37"/>
          <w:szCs w:val="37"/>
          <w:lang w:eastAsia="en-GB"/>
          <w14:ligatures w14:val="none"/>
        </w:rPr>
        <w:t>Updated </w:t>
      </w:r>
      <w:r w:rsidRPr="007058E1">
        <w:rPr>
          <w:rFonts w:ascii="inherit" w:eastAsia="Times New Roman" w:hAnsi="inherit" w:cs="Times New Roman"/>
          <w:b/>
          <w:bCs/>
          <w:i/>
          <w:iCs/>
          <w:color w:val="00B9ED"/>
          <w:kern w:val="0"/>
          <w:sz w:val="37"/>
          <w:szCs w:val="37"/>
          <w:bdr w:val="none" w:sz="0" w:space="0" w:color="auto" w:frame="1"/>
          <w:lang w:eastAsia="en-GB"/>
          <w14:ligatures w14:val="none"/>
        </w:rPr>
        <w:t>PREVENT</w:t>
      </w:r>
      <w:r w:rsidRPr="007058E1">
        <w:rPr>
          <w:rFonts w:ascii="Raleway" w:eastAsia="Times New Roman" w:hAnsi="Raleway" w:cs="Times New Roman"/>
          <w:b/>
          <w:bCs/>
          <w:color w:val="00B9ED"/>
          <w:kern w:val="0"/>
          <w:sz w:val="37"/>
          <w:szCs w:val="37"/>
          <w:lang w:eastAsia="en-GB"/>
          <w14:ligatures w14:val="none"/>
        </w:rPr>
        <w:t> Duty Guidance (Updated 2021)</w:t>
      </w:r>
    </w:p>
    <w:p w14:paraId="0E228D9B" w14:textId="77777777" w:rsidR="007058E1" w:rsidRPr="007058E1" w:rsidRDefault="007058E1" w:rsidP="007058E1">
      <w:pPr>
        <w:shd w:val="clear" w:color="auto" w:fill="FFFFFF"/>
        <w:spacing w:after="360" w:line="240" w:lineRule="auto"/>
        <w:textAlignment w:val="baseline"/>
        <w:rPr>
          <w:rFonts w:ascii="Helvetica" w:eastAsia="Times New Roman" w:hAnsi="Helvetica" w:cs="Helvetica"/>
          <w:color w:val="000000"/>
          <w:kern w:val="0"/>
          <w:sz w:val="23"/>
          <w:szCs w:val="23"/>
          <w:lang w:eastAsia="en-GB"/>
          <w14:ligatures w14:val="none"/>
        </w:rPr>
      </w:pPr>
      <w:r w:rsidRPr="007058E1">
        <w:rPr>
          <w:rFonts w:ascii="Helvetica" w:eastAsia="Times New Roman" w:hAnsi="Helvetica" w:cs="Helvetica"/>
          <w:color w:val="000000"/>
          <w:kern w:val="0"/>
          <w:sz w:val="23"/>
          <w:szCs w:val="23"/>
          <w:lang w:eastAsia="en-GB"/>
          <w14:ligatures w14:val="none"/>
        </w:rPr>
        <w:t>This document provides guidance on the duty on specified authorities in the Counter-Terrorism and Security Act 2015.</w:t>
      </w:r>
    </w:p>
    <w:p w14:paraId="5E9F2DE7" w14:textId="77777777" w:rsidR="007058E1" w:rsidRPr="007058E1" w:rsidRDefault="007058E1" w:rsidP="007058E1">
      <w:pPr>
        <w:shd w:val="clear" w:color="auto" w:fill="FFFFFF"/>
        <w:spacing w:after="0" w:line="240" w:lineRule="auto"/>
        <w:textAlignment w:val="baseline"/>
        <w:rPr>
          <w:rFonts w:ascii="Helvetica" w:eastAsia="Times New Roman" w:hAnsi="Helvetica" w:cs="Helvetica"/>
          <w:color w:val="000000"/>
          <w:kern w:val="0"/>
          <w:sz w:val="23"/>
          <w:szCs w:val="23"/>
          <w:lang w:eastAsia="en-GB"/>
          <w14:ligatures w14:val="none"/>
        </w:rPr>
      </w:pPr>
      <w:hyperlink r:id="rId6" w:history="1">
        <w:r w:rsidRPr="007058E1">
          <w:rPr>
            <w:rFonts w:ascii="inherit" w:eastAsia="Times New Roman" w:hAnsi="inherit" w:cs="Helvetica"/>
            <w:color w:val="000000"/>
            <w:kern w:val="0"/>
            <w:sz w:val="23"/>
            <w:szCs w:val="23"/>
            <w:u w:val="single"/>
            <w:bdr w:val="none" w:sz="0" w:space="0" w:color="auto" w:frame="1"/>
            <w:lang w:eastAsia="en-GB"/>
            <w14:ligatures w14:val="none"/>
          </w:rPr>
          <w:t>Prevent Duty Guidance (Updated 2021)</w:t>
        </w:r>
      </w:hyperlink>
    </w:p>
    <w:p w14:paraId="7BA9EEF1" w14:textId="77777777" w:rsidR="007058E1" w:rsidRDefault="007058E1" w:rsidP="007058E1">
      <w:pPr>
        <w:rPr>
          <w:sz w:val="32"/>
          <w:szCs w:val="32"/>
        </w:rPr>
      </w:pPr>
    </w:p>
    <w:p w14:paraId="06C1DD3C" w14:textId="77777777" w:rsidR="007058E1" w:rsidRPr="007058E1" w:rsidRDefault="007058E1" w:rsidP="007058E1">
      <w:pPr>
        <w:shd w:val="clear" w:color="auto" w:fill="FFFFFF"/>
        <w:spacing w:after="96" w:line="240" w:lineRule="auto"/>
        <w:textAlignment w:val="baseline"/>
        <w:outlineLvl w:val="2"/>
        <w:rPr>
          <w:rFonts w:ascii="Raleway" w:eastAsia="Times New Roman" w:hAnsi="Raleway" w:cs="Times New Roman"/>
          <w:b/>
          <w:bCs/>
          <w:color w:val="00B9ED"/>
          <w:kern w:val="0"/>
          <w:sz w:val="37"/>
          <w:szCs w:val="37"/>
          <w:lang w:eastAsia="en-GB"/>
          <w14:ligatures w14:val="none"/>
        </w:rPr>
      </w:pPr>
      <w:r w:rsidRPr="007058E1">
        <w:rPr>
          <w:rFonts w:ascii="Raleway" w:eastAsia="Times New Roman" w:hAnsi="Raleway" w:cs="Times New Roman"/>
          <w:b/>
          <w:bCs/>
          <w:color w:val="00B9ED"/>
          <w:kern w:val="0"/>
          <w:sz w:val="37"/>
          <w:szCs w:val="37"/>
          <w:lang w:eastAsia="en-GB"/>
          <w14:ligatures w14:val="none"/>
        </w:rPr>
        <w:t>Channel Process</w:t>
      </w:r>
    </w:p>
    <w:p w14:paraId="5650F973" w14:textId="77777777" w:rsidR="007058E1" w:rsidRPr="007058E1" w:rsidRDefault="007058E1" w:rsidP="007058E1">
      <w:pPr>
        <w:shd w:val="clear" w:color="auto" w:fill="FFFFFF"/>
        <w:spacing w:after="360" w:line="240" w:lineRule="auto"/>
        <w:textAlignment w:val="baseline"/>
        <w:rPr>
          <w:rFonts w:ascii="Helvetica" w:eastAsia="Times New Roman" w:hAnsi="Helvetica" w:cs="Helvetica"/>
          <w:color w:val="000000"/>
          <w:kern w:val="0"/>
          <w:sz w:val="23"/>
          <w:szCs w:val="23"/>
          <w:lang w:eastAsia="en-GB"/>
          <w14:ligatures w14:val="none"/>
        </w:rPr>
      </w:pPr>
      <w:r w:rsidRPr="007058E1">
        <w:rPr>
          <w:rFonts w:ascii="Helvetica" w:eastAsia="Times New Roman" w:hAnsi="Helvetica" w:cs="Helvetica"/>
          <w:color w:val="000000"/>
          <w:kern w:val="0"/>
          <w:sz w:val="23"/>
          <w:szCs w:val="23"/>
          <w:lang w:eastAsia="en-GB"/>
          <w14:ligatures w14:val="none"/>
        </w:rPr>
        <w:t>The Counter Terrorism and Security Act 2015 introduced the ‘Channel’ process. Channel is a multi-agency safeguarding programme providing tailored support to people who have been identified as at risk of being drawn into terrorism.  The support offered can come from any of the partners on the Panel which includes the local authority, police, education and health providers. The person’s engagement in the programme is voluntary at all stages. This guidance is intended for members of a panel and partners of local panels in England and Wales on the duty to provide support for people vulnerable to being drawn into terrorism. Updated guidance was issued in 2020.</w:t>
      </w:r>
    </w:p>
    <w:p w14:paraId="7B7E8285" w14:textId="77777777" w:rsidR="007058E1" w:rsidRPr="007058E1" w:rsidRDefault="007058E1" w:rsidP="007058E1">
      <w:pPr>
        <w:shd w:val="clear" w:color="auto" w:fill="FFFFFF"/>
        <w:spacing w:after="360" w:line="240" w:lineRule="auto"/>
        <w:textAlignment w:val="baseline"/>
        <w:rPr>
          <w:rFonts w:ascii="Helvetica" w:eastAsia="Times New Roman" w:hAnsi="Helvetica" w:cs="Helvetica"/>
          <w:color w:val="000000"/>
          <w:kern w:val="0"/>
          <w:sz w:val="23"/>
          <w:szCs w:val="23"/>
          <w:lang w:eastAsia="en-GB"/>
          <w14:ligatures w14:val="none"/>
        </w:rPr>
      </w:pPr>
      <w:r w:rsidRPr="007058E1">
        <w:rPr>
          <w:rFonts w:ascii="Helvetica" w:eastAsia="Times New Roman" w:hAnsi="Helvetica" w:cs="Helvetica"/>
          <w:color w:val="000000"/>
          <w:kern w:val="0"/>
          <w:sz w:val="23"/>
          <w:szCs w:val="23"/>
          <w:lang w:eastAsia="en-GB"/>
          <w14:ligatures w14:val="none"/>
        </w:rPr>
        <w:t>Channel Duty Guidance (2020)</w:t>
      </w:r>
    </w:p>
    <w:p w14:paraId="6984B14D" w14:textId="7D23DB7F" w:rsidR="007058E1" w:rsidRPr="007058E1" w:rsidRDefault="007058E1" w:rsidP="007058E1">
      <w:pPr>
        <w:rPr>
          <w:sz w:val="32"/>
          <w:szCs w:val="32"/>
          <w:u w:val="single"/>
        </w:rPr>
      </w:pPr>
      <w:r w:rsidRPr="007058E1">
        <w:rPr>
          <w:sz w:val="32"/>
          <w:szCs w:val="32"/>
          <w:u w:val="single"/>
        </w:rPr>
        <w:lastRenderedPageBreak/>
        <w:t>Introduction</w:t>
      </w:r>
    </w:p>
    <w:p w14:paraId="5452C6E8" w14:textId="48985E04" w:rsidR="007058E1" w:rsidRDefault="007058E1" w:rsidP="007058E1">
      <w:pPr>
        <w:rPr>
          <w:sz w:val="32"/>
          <w:szCs w:val="32"/>
        </w:rPr>
      </w:pPr>
      <w:r>
        <w:rPr>
          <w:sz w:val="32"/>
          <w:szCs w:val="32"/>
        </w:rPr>
        <w:t>All staff working face to face with individuals at The HOLT will be given up to date Prevent duty training.</w:t>
      </w:r>
    </w:p>
    <w:p w14:paraId="0EEC0EB6" w14:textId="63ACAD58" w:rsidR="007058E1" w:rsidRDefault="007058E1" w:rsidP="007058E1">
      <w:pPr>
        <w:rPr>
          <w:sz w:val="32"/>
          <w:szCs w:val="32"/>
        </w:rPr>
      </w:pPr>
      <w:r>
        <w:rPr>
          <w:sz w:val="32"/>
          <w:szCs w:val="32"/>
        </w:rPr>
        <w:t xml:space="preserve">They will follow the guidance as set out in the Updated Prevent Duty Guidance 2021, should they have concerns about any individual either attending or working at </w:t>
      </w:r>
      <w:proofErr w:type="gramStart"/>
      <w:r>
        <w:rPr>
          <w:sz w:val="32"/>
          <w:szCs w:val="32"/>
        </w:rPr>
        <w:t>The</w:t>
      </w:r>
      <w:proofErr w:type="gramEnd"/>
      <w:r>
        <w:rPr>
          <w:sz w:val="32"/>
          <w:szCs w:val="32"/>
        </w:rPr>
        <w:t xml:space="preserve"> HOLT.  </w:t>
      </w:r>
    </w:p>
    <w:p w14:paraId="243DDA1D" w14:textId="4FB54BB9" w:rsidR="007058E1" w:rsidRPr="007058E1" w:rsidRDefault="007058E1" w:rsidP="007058E1">
      <w:pPr>
        <w:rPr>
          <w:sz w:val="32"/>
          <w:szCs w:val="32"/>
          <w:u w:val="single"/>
        </w:rPr>
      </w:pPr>
      <w:r w:rsidRPr="007058E1">
        <w:rPr>
          <w:sz w:val="32"/>
          <w:szCs w:val="32"/>
          <w:u w:val="single"/>
        </w:rPr>
        <w:t>Procedure</w:t>
      </w:r>
    </w:p>
    <w:p w14:paraId="63DBAAEE" w14:textId="2850C32B" w:rsidR="007058E1" w:rsidRDefault="007058E1" w:rsidP="007058E1">
      <w:pPr>
        <w:rPr>
          <w:sz w:val="32"/>
          <w:szCs w:val="32"/>
        </w:rPr>
      </w:pPr>
      <w:r>
        <w:rPr>
          <w:sz w:val="32"/>
          <w:szCs w:val="32"/>
        </w:rPr>
        <w:t>Any member of staff holding concerns about a client or member of staff must immediately notify the Police and the Designated Safeguarding Lead before completing the Prevent Referral form for the individual in question</w:t>
      </w:r>
      <w:r w:rsidR="000D76AF">
        <w:rPr>
          <w:sz w:val="32"/>
          <w:szCs w:val="32"/>
        </w:rPr>
        <w:t>, following the guidance set out in the</w:t>
      </w:r>
      <w:r w:rsidR="00721421">
        <w:rPr>
          <w:sz w:val="32"/>
          <w:szCs w:val="32"/>
        </w:rPr>
        <w:t xml:space="preserve"> Government handbook</w:t>
      </w:r>
      <w:r>
        <w:rPr>
          <w:sz w:val="32"/>
          <w:szCs w:val="32"/>
        </w:rPr>
        <w:t>.</w:t>
      </w:r>
      <w:r w:rsidR="00723F8C">
        <w:rPr>
          <w:sz w:val="32"/>
          <w:szCs w:val="32"/>
        </w:rPr>
        <w:t xml:space="preserve">  They will observe strict confidentiality rules regarding the report.</w:t>
      </w:r>
    </w:p>
    <w:p w14:paraId="5C9F8254" w14:textId="77777777" w:rsidR="00EE63C5" w:rsidRDefault="00EE63C5" w:rsidP="007058E1">
      <w:pPr>
        <w:rPr>
          <w:sz w:val="32"/>
          <w:szCs w:val="32"/>
        </w:rPr>
      </w:pPr>
    </w:p>
    <w:p w14:paraId="36823BF6" w14:textId="58E963B4" w:rsidR="00EE63C5" w:rsidRDefault="00EE63C5" w:rsidP="007058E1">
      <w:pPr>
        <w:rPr>
          <w:sz w:val="32"/>
          <w:szCs w:val="32"/>
        </w:rPr>
      </w:pPr>
      <w:r>
        <w:rPr>
          <w:sz w:val="32"/>
          <w:szCs w:val="32"/>
        </w:rPr>
        <w:t>Written by: Juliet Bell</w:t>
      </w:r>
    </w:p>
    <w:p w14:paraId="5C128CA8" w14:textId="59D005F1" w:rsidR="00EE63C5" w:rsidRDefault="004A1CFF" w:rsidP="007058E1">
      <w:pPr>
        <w:rPr>
          <w:sz w:val="32"/>
          <w:szCs w:val="32"/>
        </w:rPr>
      </w:pPr>
      <w:r>
        <w:rPr>
          <w:sz w:val="32"/>
          <w:szCs w:val="32"/>
        </w:rPr>
        <w:t>10/02/2026</w:t>
      </w:r>
    </w:p>
    <w:p w14:paraId="7ACAD5A2" w14:textId="5D120830" w:rsidR="00EE63C5" w:rsidRPr="007058E1" w:rsidRDefault="00EE63C5" w:rsidP="007058E1">
      <w:pPr>
        <w:rPr>
          <w:sz w:val="32"/>
          <w:szCs w:val="32"/>
        </w:rPr>
      </w:pPr>
      <w:r>
        <w:rPr>
          <w:sz w:val="32"/>
          <w:szCs w:val="32"/>
        </w:rPr>
        <w:t>Review: 0</w:t>
      </w:r>
      <w:r w:rsidR="004A1CFF">
        <w:rPr>
          <w:sz w:val="32"/>
          <w:szCs w:val="32"/>
        </w:rPr>
        <w:t>1/02/2027</w:t>
      </w:r>
    </w:p>
    <w:sectPr w:rsidR="00EE63C5" w:rsidRPr="00705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E1"/>
    <w:rsid w:val="000D76AF"/>
    <w:rsid w:val="00223C07"/>
    <w:rsid w:val="004A1CFF"/>
    <w:rsid w:val="005A1CB6"/>
    <w:rsid w:val="007058E1"/>
    <w:rsid w:val="00721421"/>
    <w:rsid w:val="00723F8C"/>
    <w:rsid w:val="00754DB3"/>
    <w:rsid w:val="00905E80"/>
    <w:rsid w:val="00A325F7"/>
    <w:rsid w:val="00B826B3"/>
    <w:rsid w:val="00CB7A8A"/>
    <w:rsid w:val="00D04D9D"/>
    <w:rsid w:val="00E9040A"/>
    <w:rsid w:val="00EE6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C43A"/>
  <w15:chartTrackingRefBased/>
  <w15:docId w15:val="{C9A501AF-C277-4B3F-9F7F-1C084A82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39330">
      <w:bodyDiv w:val="1"/>
      <w:marLeft w:val="0"/>
      <w:marRight w:val="0"/>
      <w:marTop w:val="0"/>
      <w:marBottom w:val="0"/>
      <w:divBdr>
        <w:top w:val="none" w:sz="0" w:space="0" w:color="auto"/>
        <w:left w:val="none" w:sz="0" w:space="0" w:color="auto"/>
        <w:bottom w:val="none" w:sz="0" w:space="0" w:color="auto"/>
        <w:right w:val="none" w:sz="0" w:space="0" w:color="auto"/>
      </w:divBdr>
    </w:div>
    <w:div w:id="1200053319">
      <w:bodyDiv w:val="1"/>
      <w:marLeft w:val="0"/>
      <w:marRight w:val="0"/>
      <w:marTop w:val="0"/>
      <w:marBottom w:val="0"/>
      <w:divBdr>
        <w:top w:val="none" w:sz="0" w:space="0" w:color="auto"/>
        <w:left w:val="none" w:sz="0" w:space="0" w:color="auto"/>
        <w:bottom w:val="none" w:sz="0" w:space="0" w:color="auto"/>
        <w:right w:val="none" w:sz="0" w:space="0" w:color="auto"/>
      </w:divBdr>
    </w:div>
    <w:div w:id="1890341467">
      <w:bodyDiv w:val="1"/>
      <w:marLeft w:val="0"/>
      <w:marRight w:val="0"/>
      <w:marTop w:val="0"/>
      <w:marBottom w:val="0"/>
      <w:divBdr>
        <w:top w:val="none" w:sz="0" w:space="0" w:color="auto"/>
        <w:left w:val="none" w:sz="0" w:space="0" w:color="auto"/>
        <w:bottom w:val="none" w:sz="0" w:space="0" w:color="auto"/>
        <w:right w:val="none" w:sz="0" w:space="0" w:color="auto"/>
      </w:divBdr>
    </w:div>
    <w:div w:id="19345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prevent-duty-guidance" TargetMode="External"/><Relationship Id="rId5" Type="http://schemas.openxmlformats.org/officeDocument/2006/relationships/hyperlink" Target="https://assets.publishing.service.gov.uk/government/uploads/system/uploads/attachment_data/file/97976/prevent-strategy-review.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cp:lastPrinted>2023-08-23T09:18:00Z</cp:lastPrinted>
  <dcterms:created xsi:type="dcterms:W3CDTF">2026-02-10T11:03:00Z</dcterms:created>
  <dcterms:modified xsi:type="dcterms:W3CDTF">2026-02-10T11:03:00Z</dcterms:modified>
</cp:coreProperties>
</file>