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4772025" cy="64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053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Policy Conflicts between the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Existing General Plan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and the </w:t>
      </w: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Proposed General Plan Amendment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3.32268370607"/>
        <w:gridCol w:w="3787.8594249201274"/>
        <w:gridCol w:w="3488.8178913738016"/>
        <w:tblGridChange w:id="0">
          <w:tblGrid>
            <w:gridCol w:w="2083.32268370607"/>
            <w:gridCol w:w="3787.8594249201274"/>
            <w:gridCol w:w="3488.817891373801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General Plan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It Says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Conflict with NOP Proposal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NE-1.4  Agricultural Mitigation (page 35)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“Prior to annexing land into the city or expanding the SOI, require agricultural mitigation consistent with Solano LAFCO Standards and Procedures when agricultural lands would be converted to nonagricultural purposes.”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NOP annexes </w:t>
            </w:r>
            <w:r w:rsidDel="00000000" w:rsidR="00000000" w:rsidRPr="00000000">
              <w:rPr>
                <w:b w:val="1"/>
                <w:rtl w:val="0"/>
              </w:rPr>
              <w:t xml:space="preserve">~1,258 acres of farmland</w:t>
            </w:r>
            <w:r w:rsidDel="00000000" w:rsidR="00000000" w:rsidRPr="00000000">
              <w:rPr>
                <w:rtl w:val="0"/>
              </w:rPr>
              <w:t xml:space="preserve"> (Harvest, Lombardo Ranch, non-participating parcels) and expands SOI by </w:t>
            </w:r>
            <w:r w:rsidDel="00000000" w:rsidR="00000000" w:rsidRPr="00000000">
              <w:rPr>
                <w:b w:val="1"/>
                <w:rtl w:val="0"/>
              </w:rPr>
              <w:t xml:space="preserve">3,153 acres</w:t>
            </w:r>
            <w:r w:rsidDel="00000000" w:rsidR="00000000" w:rsidRPr="00000000">
              <w:rPr>
                <w:rtl w:val="0"/>
              </w:rPr>
              <w:t xml:space="preserve">, converting mostly </w:t>
            </w:r>
            <w:r w:rsidDel="00000000" w:rsidR="00000000" w:rsidRPr="00000000">
              <w:rPr>
                <w:b w:val="1"/>
                <w:rtl w:val="0"/>
              </w:rPr>
              <w:t xml:space="preserve">A-40 ag-zoned land</w:t>
            </w:r>
            <w:r w:rsidDel="00000000" w:rsidR="00000000" w:rsidRPr="00000000">
              <w:rPr>
                <w:rtl w:val="0"/>
              </w:rPr>
              <w:t xml:space="preserve"> to urban use.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NE-1.1 &amp; NE-1.2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Preserve Open Space &amp; Greenbelts (page 35)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“Preserve agricultural lands that surround Dixon through conservation easements and greenbelts; support placing more land into permanent conservation.”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NOP directly </w:t>
            </w:r>
            <w:r w:rsidDel="00000000" w:rsidR="00000000" w:rsidRPr="00000000">
              <w:rPr>
                <w:b w:val="1"/>
                <w:rtl w:val="0"/>
              </w:rPr>
              <w:t xml:space="preserve">urbanizes farmland south &amp; southeast of city</w:t>
            </w:r>
            <w:r w:rsidDel="00000000" w:rsidR="00000000" w:rsidRPr="00000000">
              <w:rPr>
                <w:rtl w:val="0"/>
              </w:rPr>
              <w:t xml:space="preserve">, in tension with the Davis-Dixon and Vacaville-Dixon greenbelt goals.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LCC-1.3 Growth Management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(Page 87)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“Promote a land and resource efficient development pattern and limit ‘leap frog’ development.”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NOP proposes </w:t>
            </w:r>
            <w:r w:rsidDel="00000000" w:rsidR="00000000" w:rsidRPr="00000000">
              <w:rPr>
                <w:b w:val="1"/>
                <w:rtl w:val="0"/>
              </w:rPr>
              <w:t xml:space="preserve">large-scale annexation beyond contiguous city fabric</w:t>
            </w:r>
            <w:r w:rsidDel="00000000" w:rsidR="00000000" w:rsidRPr="00000000">
              <w:rPr>
                <w:rtl w:val="0"/>
              </w:rPr>
              <w:t xml:space="preserve">, leapfrogging into unincorporated Solano farmland.</w:t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LCC-1.8 Annexation Requirements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(Page 87)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“Approve annexation only after adoption of an area-wide plan that addresses land use, circulation, housing, infrastructure, and public facilities and services.”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NOP bundles annexation with a </w:t>
            </w:r>
            <w:r w:rsidDel="00000000" w:rsidR="00000000" w:rsidRPr="00000000">
              <w:rPr>
                <w:b w:val="1"/>
                <w:rtl w:val="0"/>
              </w:rPr>
              <w:t xml:space="preserve">single master-planned development</w:t>
            </w:r>
            <w:r w:rsidDel="00000000" w:rsidR="00000000" w:rsidRPr="00000000">
              <w:rPr>
                <w:rtl w:val="0"/>
              </w:rPr>
              <w:t xml:space="preserve"> (Harvest) and broad SOI expansion without fully defined infrastructure plans for Lombardo Ranch and non-participating parcels.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Measure B Growth Control (noted in GP §3.4, page 83)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Limits residential growth to </w:t>
            </w:r>
            <w:r w:rsidDel="00000000" w:rsidR="00000000" w:rsidRPr="00000000">
              <w:rPr>
                <w:b w:val="1"/>
                <w:rtl w:val="0"/>
              </w:rPr>
              <w:t xml:space="preserve">3% per year</w:t>
            </w:r>
            <w:r w:rsidDel="00000000" w:rsidR="00000000" w:rsidRPr="00000000">
              <w:rPr>
                <w:rtl w:val="0"/>
              </w:rPr>
              <w:t xml:space="preserve">, requiring ~80% single-family / 20% multifamily.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NOP proposes </w:t>
            </w:r>
            <w:r w:rsidDel="00000000" w:rsidR="00000000" w:rsidRPr="00000000">
              <w:rPr>
                <w:b w:val="1"/>
                <w:rtl w:val="0"/>
              </w:rPr>
              <w:t xml:space="preserve">4,000–8,752 new homes</w:t>
            </w:r>
            <w:r w:rsidDel="00000000" w:rsidR="00000000" w:rsidRPr="00000000">
              <w:rPr>
                <w:rtl w:val="0"/>
              </w:rPr>
              <w:t xml:space="preserve"> over 20–25 years (~300/year). With full build out, this will</w:t>
            </w:r>
            <w:r w:rsidDel="00000000" w:rsidR="00000000" w:rsidRPr="00000000">
              <w:rPr>
                <w:b w:val="1"/>
                <w:rtl w:val="0"/>
              </w:rPr>
              <w:t xml:space="preserve"> exceed Measure B limits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NE-1.5  Interim Agricultural Use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(Page 35)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“Continue to allow agriculture as an interim use on land designated for future urban use.”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NOP accelerates conversion of farmland into housing and mixed-use rather than maintaining ag use as interim.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LCC-1.1  Agricultural Buffers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(Page 87)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“Recognize and maintain Dixon as a community surrounded by productive agricultural land and greenbelts.”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NOP’s annexation erodes buffer zones, especially </w:t>
            </w:r>
            <w:r w:rsidDel="00000000" w:rsidR="00000000" w:rsidRPr="00000000">
              <w:rPr>
                <w:b w:val="1"/>
                <w:rtl w:val="0"/>
              </w:rPr>
              <w:t xml:space="preserve">south and southeast</w:t>
            </w:r>
            <w:r w:rsidDel="00000000" w:rsidR="00000000" w:rsidRPr="00000000">
              <w:rPr>
                <w:rtl w:val="0"/>
              </w:rPr>
              <w:t xml:space="preserve">, reducing the agricultural “ring” around Dixon.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NE-1.7 Sustainable Groundwater Management (Page 36)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Calls for proactive protection of the </w:t>
            </w:r>
            <w:r w:rsidDel="00000000" w:rsidR="00000000" w:rsidRPr="00000000">
              <w:rPr>
                <w:b w:val="1"/>
                <w:rtl w:val="0"/>
              </w:rPr>
              <w:t xml:space="preserve">Solano Subbasin aquifer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NOP anticipates </w:t>
            </w:r>
            <w:r w:rsidDel="00000000" w:rsidR="00000000" w:rsidRPr="00000000">
              <w:rPr>
                <w:b w:val="1"/>
                <w:rtl w:val="0"/>
              </w:rPr>
              <w:t xml:space="preserve">new wells and major groundwater demand</w:t>
            </w:r>
            <w:r w:rsidDel="00000000" w:rsidR="00000000" w:rsidRPr="00000000">
              <w:rPr>
                <w:rtl w:val="0"/>
              </w:rPr>
              <w:t xml:space="preserve"> to serve 8,700+ homes and businesses — stressing long-term groundwater sustainability.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LCC-2.1 Small-Town Character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(Page 100)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Conservation 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Easements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“Maintain small-town character while allowing for measured growth.”</w:t>
            </w:r>
          </w:p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Silent on the annexation of four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conservation easements.  These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are parcels which were purchased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and are held in perpetuity for ag use.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NOP’s scale of development (up to 8,752 units) could </w:t>
            </w:r>
            <w:r w:rsidDel="00000000" w:rsidR="00000000" w:rsidRPr="00000000">
              <w:rPr>
                <w:b w:val="1"/>
                <w:rtl w:val="0"/>
              </w:rPr>
              <w:t xml:space="preserve">double Dixon’s population</w:t>
            </w:r>
            <w:r w:rsidDel="00000000" w:rsidR="00000000" w:rsidRPr="00000000">
              <w:rPr>
                <w:rtl w:val="0"/>
              </w:rPr>
              <w:t xml:space="preserve">, challenging small-town character preservation.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Four conservation easements are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currently proposed for future annexation by the City.  It is not clear that the law will allow this.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cityofdixonca.gov/GeneralPlan" TargetMode="External"/><Relationship Id="rId8" Type="http://schemas.openxmlformats.org/officeDocument/2006/relationships/hyperlink" Target="https://www.cityofdixonca.gov/departments/CommunityDevelopment/environementalreview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