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HUTCHINSON TOWNSHIP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NOTICE OF ANNUAL MEETING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AND ELECTION OF OFFICERS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Notice is hereby given to the qualified voters of Hutchinson Township, County of Mcleod,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State of Minnesota, that the annual town meeting and the annual election of officers will be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held on Tuesday, March 10, 2026. In case of inclement weather the meeting and election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may be postponed until the third Tuesday in March.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Election Poll hours will be open following the annual meeting to 8 pm at which time the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voters will elect: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Supervisor C for a term of three (3) years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One (1) Clerk for a term of two (2) years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Annual Meeting will commence at 2 pm to conduct all necessary business prescribed by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law.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Annual Meeting and Elections will be held at the following location: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Gopher Campfire Club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24718 County Road 7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Hutchinson, MN 55350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Dated February 10, 2026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Mykensi Uecker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Hutchinson Township Clerk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