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858000" cy="2615565"/>
                <wp:effectExtent l="0" t="0" r="0" b="381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858000" cy="2615565"/>
                          <a:chExt cx="6858000" cy="261556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7987" cy="26151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4398645" cy="2615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8645" h="2615565">
                                <a:moveTo>
                                  <a:pt x="4398264" y="0"/>
                                </a:moveTo>
                                <a:lnTo>
                                  <a:pt x="1508760" y="0"/>
                                </a:lnTo>
                                <a:lnTo>
                                  <a:pt x="0" y="1322971"/>
                                </a:lnTo>
                                <a:lnTo>
                                  <a:pt x="0" y="2615184"/>
                                </a:lnTo>
                                <a:lnTo>
                                  <a:pt x="2172614" y="2615184"/>
                                </a:lnTo>
                                <a:lnTo>
                                  <a:pt x="4398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2C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6858000" cy="2615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52"/>
                                </w:rPr>
                              </w:pPr>
                            </w:p>
                            <w:p>
                              <w:pPr>
                                <w:spacing w:line="240" w:lineRule="auto" w:before="262"/>
                                <w:rPr>
                                  <w:rFonts w:ascii="Times New Roman"/>
                                  <w:sz w:val="52"/>
                                </w:rPr>
                              </w:pPr>
                            </w:p>
                            <w:p>
                              <w:pPr>
                                <w:spacing w:line="249" w:lineRule="auto" w:before="0"/>
                                <w:ind w:left="871" w:right="3183" w:firstLine="219"/>
                                <w:jc w:val="left"/>
                                <w:rPr>
                                  <w:rFonts w:ascii="Times New Roman" w:hAnsi="Times New Roman"/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w w:val="105"/>
                                  <w:sz w:val="52"/>
                                </w:rPr>
                                <w:t>What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pacing w:val="-19"/>
                                  <w:w w:val="105"/>
                                  <w:sz w:val="5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w w:val="105"/>
                                  <w:sz w:val="52"/>
                                </w:rPr>
                                <w:t>is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pacing w:val="-19"/>
                                  <w:w w:val="105"/>
                                  <w:sz w:val="5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w w:val="105"/>
                                  <w:sz w:val="52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pacing w:val="-19"/>
                                  <w:w w:val="105"/>
                                  <w:sz w:val="5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w w:val="105"/>
                                  <w:sz w:val="52"/>
                                </w:rPr>
                                <w:t>§1031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pacing w:val="-2"/>
                                  <w:w w:val="105"/>
                                  <w:sz w:val="52"/>
                                </w:rPr>
                                <w:t>transaction?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0pt;height:205.95pt;mso-position-horizontal-relative:char;mso-position-vertical-relative:line" id="docshapegroup1" coordorigin="0,0" coordsize="10800,4119">
                <v:shape style="position:absolute;left:0;top:0;width:10800;height:4119" type="#_x0000_t75" id="docshape2" stroked="false">
                  <v:imagedata r:id="rId5" o:title=""/>
                </v:shape>
                <v:shape style="position:absolute;left:0;top:0;width:6927;height:4119" id="docshape3" coordorigin="0,0" coordsize="6927,4119" path="m6926,0l2376,0,0,2083,0,4118,3421,4118,6926,0xe" filled="true" fillcolor="#0092c8" stroked="false">
                  <v:path arrowok="t"/>
                  <v:fill opacity="52428f"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10800;height:4119" type="#_x0000_t202" id="docshape4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52"/>
                          </w:rPr>
                        </w:pPr>
                      </w:p>
                      <w:p>
                        <w:pPr>
                          <w:spacing w:line="240" w:lineRule="auto" w:before="262"/>
                          <w:rPr>
                            <w:rFonts w:ascii="Times New Roman"/>
                            <w:sz w:val="52"/>
                          </w:rPr>
                        </w:pPr>
                      </w:p>
                      <w:p>
                        <w:pPr>
                          <w:spacing w:line="249" w:lineRule="auto" w:before="0"/>
                          <w:ind w:left="871" w:right="3183" w:firstLine="219"/>
                          <w:jc w:val="left"/>
                          <w:rPr>
                            <w:rFonts w:ascii="Times New Roman" w:hAnsi="Times New Roman"/>
                            <w:b/>
                            <w:sz w:val="52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FFFFFF"/>
                            <w:w w:val="105"/>
                            <w:sz w:val="52"/>
                          </w:rPr>
                          <w:t>What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pacing w:val="-19"/>
                            <w:w w:val="105"/>
                            <w:sz w:val="5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w w:val="105"/>
                            <w:sz w:val="52"/>
                          </w:rPr>
                          <w:t>is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pacing w:val="-19"/>
                            <w:w w:val="105"/>
                            <w:sz w:val="5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w w:val="105"/>
                            <w:sz w:val="52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pacing w:val="-19"/>
                            <w:w w:val="105"/>
                            <w:sz w:val="5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w w:val="105"/>
                            <w:sz w:val="52"/>
                          </w:rPr>
                          <w:t>§1031 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pacing w:val="-2"/>
                            <w:w w:val="105"/>
                            <w:sz w:val="52"/>
                          </w:rPr>
                          <w:t>transaction?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46"/>
        <w:ind w:left="0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720" w:bottom="280" w:left="620" w:right="600"/>
        </w:sectPr>
      </w:pPr>
    </w:p>
    <w:p>
      <w:pPr>
        <w:pStyle w:val="BodyText"/>
        <w:spacing w:before="93"/>
        <w:ind w:left="866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1488">
                <wp:simplePos x="0" y="0"/>
                <wp:positionH relativeFrom="page">
                  <wp:posOffset>458216</wp:posOffset>
                </wp:positionH>
                <wp:positionV relativeFrom="paragraph">
                  <wp:posOffset>21377</wp:posOffset>
                </wp:positionV>
                <wp:extent cx="384810" cy="407034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384810" cy="4070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40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57"/>
                              </w:rPr>
                            </w:pPr>
                            <w:r>
                              <w:rPr>
                                <w:b/>
                                <w:color w:val="0092C8"/>
                                <w:spacing w:val="-5"/>
                                <w:sz w:val="57"/>
                              </w:rPr>
                              <w:t>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080002pt;margin-top:1.683276pt;width:30.3pt;height:32.0500pt;mso-position-horizontal-relative:page;mso-position-vertical-relative:paragraph;z-index:-15764992" type="#_x0000_t202" id="docshape5" filled="false" stroked="false">
                <v:textbox inset="0,0,0,0">
                  <w:txbxContent>
                    <w:p>
                      <w:pPr>
                        <w:spacing w:line="640" w:lineRule="exact" w:before="0"/>
                        <w:ind w:left="0" w:right="0" w:firstLine="0"/>
                        <w:jc w:val="left"/>
                        <w:rPr>
                          <w:b/>
                          <w:sz w:val="57"/>
                        </w:rPr>
                      </w:pPr>
                      <w:r>
                        <w:rPr>
                          <w:b/>
                          <w:color w:val="0092C8"/>
                          <w:spacing w:val="-5"/>
                          <w:sz w:val="57"/>
                        </w:rPr>
                        <w:t>A: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</w:rPr>
        <w:t>An owner of real estate used in their trade or business</w:t>
      </w:r>
      <w:r>
        <w:rPr>
          <w:color w:val="231F20"/>
          <w:spacing w:val="30"/>
        </w:rPr>
        <w:t> </w:t>
      </w:r>
      <w:r>
        <w:rPr>
          <w:color w:val="231F20"/>
        </w:rPr>
        <w:t>or</w:t>
      </w:r>
      <w:r>
        <w:rPr>
          <w:color w:val="231F20"/>
          <w:spacing w:val="31"/>
        </w:rPr>
        <w:t> </w:t>
      </w:r>
      <w:r>
        <w:rPr>
          <w:color w:val="231F20"/>
        </w:rPr>
        <w:t>held</w:t>
      </w:r>
      <w:r>
        <w:rPr>
          <w:color w:val="231F20"/>
          <w:spacing w:val="30"/>
        </w:rPr>
        <w:t> </w:t>
      </w:r>
      <w:r>
        <w:rPr>
          <w:color w:val="231F20"/>
        </w:rPr>
        <w:t>for</w:t>
      </w:r>
      <w:r>
        <w:rPr>
          <w:color w:val="231F20"/>
          <w:spacing w:val="31"/>
        </w:rPr>
        <w:t> </w:t>
      </w:r>
      <w:r>
        <w:rPr>
          <w:color w:val="231F20"/>
        </w:rPr>
        <w:t>investment</w:t>
      </w:r>
      <w:r>
        <w:rPr>
          <w:color w:val="231F20"/>
          <w:spacing w:val="30"/>
        </w:rPr>
        <w:t> </w:t>
      </w:r>
      <w:r>
        <w:rPr>
          <w:color w:val="231F20"/>
        </w:rPr>
        <w:t>is</w:t>
      </w:r>
      <w:r>
        <w:rPr>
          <w:color w:val="231F20"/>
          <w:spacing w:val="31"/>
        </w:rPr>
        <w:t> </w:t>
      </w:r>
      <w:r>
        <w:rPr>
          <w:color w:val="231F20"/>
        </w:rPr>
        <w:t>not</w:t>
      </w:r>
      <w:r>
        <w:rPr>
          <w:color w:val="231F20"/>
          <w:spacing w:val="31"/>
        </w:rPr>
        <w:t> </w:t>
      </w:r>
      <w:r>
        <w:rPr>
          <w:color w:val="231F20"/>
          <w:spacing w:val="-2"/>
        </w:rPr>
        <w:t>taxed</w:t>
      </w:r>
    </w:p>
    <w:p>
      <w:pPr>
        <w:pStyle w:val="BodyText"/>
        <w:ind w:right="38"/>
        <w:jc w:val="both"/>
      </w:pPr>
      <w:r>
        <w:rPr>
          <w:color w:val="231F20"/>
        </w:rPr>
        <w:t>on the profit they realize from the sale of the property when</w:t>
      </w:r>
      <w:r>
        <w:rPr>
          <w:color w:val="231F20"/>
          <w:spacing w:val="-16"/>
        </w:rPr>
        <w:t> </w:t>
      </w:r>
      <w:r>
        <w:rPr>
          <w:color w:val="231F20"/>
        </w:rPr>
        <w:t>they</w:t>
      </w:r>
      <w:r>
        <w:rPr>
          <w:color w:val="231F20"/>
          <w:spacing w:val="-15"/>
        </w:rPr>
        <w:t> </w:t>
      </w:r>
      <w:r>
        <w:rPr>
          <w:color w:val="231F20"/>
        </w:rPr>
        <w:t>purchase</w:t>
      </w:r>
      <w:r>
        <w:rPr>
          <w:color w:val="231F20"/>
          <w:spacing w:val="-15"/>
        </w:rPr>
        <w:t> </w:t>
      </w:r>
      <w:r>
        <w:rPr>
          <w:b/>
          <w:color w:val="231F20"/>
        </w:rPr>
        <w:t>like-kind</w:t>
      </w:r>
      <w:r>
        <w:rPr>
          <w:b/>
          <w:color w:val="231F20"/>
          <w:spacing w:val="-16"/>
        </w:rPr>
        <w:t> </w:t>
      </w:r>
      <w:r>
        <w:rPr>
          <w:color w:val="231F20"/>
        </w:rPr>
        <w:t>replacement</w:t>
      </w:r>
      <w:r>
        <w:rPr>
          <w:color w:val="231F20"/>
          <w:spacing w:val="-15"/>
        </w:rPr>
        <w:t> </w:t>
      </w:r>
      <w:r>
        <w:rPr>
          <w:color w:val="231F20"/>
        </w:rPr>
        <w:t>property</w:t>
      </w:r>
      <w:r>
        <w:rPr>
          <w:color w:val="231F20"/>
          <w:spacing w:val="-15"/>
        </w:rPr>
        <w:t> </w:t>
      </w:r>
      <w:r>
        <w:rPr>
          <w:color w:val="231F20"/>
        </w:rPr>
        <w:t>in an</w:t>
      </w:r>
      <w:r>
        <w:rPr>
          <w:color w:val="231F20"/>
          <w:spacing w:val="-13"/>
        </w:rPr>
        <w:t> </w:t>
      </w:r>
      <w:r>
        <w:rPr>
          <w:color w:val="231F20"/>
        </w:rPr>
        <w:t>Internal</w:t>
      </w:r>
      <w:r>
        <w:rPr>
          <w:color w:val="231F20"/>
          <w:spacing w:val="-13"/>
        </w:rPr>
        <w:t> </w:t>
      </w:r>
      <w:r>
        <w:rPr>
          <w:color w:val="231F20"/>
        </w:rPr>
        <w:t>Revenue</w:t>
      </w:r>
      <w:r>
        <w:rPr>
          <w:color w:val="231F20"/>
          <w:spacing w:val="-13"/>
        </w:rPr>
        <w:t> </w:t>
      </w:r>
      <w:r>
        <w:rPr>
          <w:color w:val="231F20"/>
        </w:rPr>
        <w:t>Code</w:t>
      </w:r>
      <w:r>
        <w:rPr>
          <w:color w:val="231F20"/>
          <w:spacing w:val="-13"/>
        </w:rPr>
        <w:t> </w:t>
      </w:r>
      <w:r>
        <w:rPr>
          <w:color w:val="231F20"/>
        </w:rPr>
        <w:t>(IRC)</w:t>
      </w:r>
      <w:r>
        <w:rPr>
          <w:color w:val="231F20"/>
          <w:spacing w:val="-13"/>
        </w:rPr>
        <w:t> </w:t>
      </w:r>
      <w:r>
        <w:rPr>
          <w:b/>
          <w:color w:val="231F20"/>
        </w:rPr>
        <w:t>§1031</w:t>
      </w:r>
      <w:r>
        <w:rPr>
          <w:b/>
          <w:color w:val="231F20"/>
          <w:spacing w:val="-13"/>
        </w:rPr>
        <w:t> </w:t>
      </w:r>
      <w:r>
        <w:rPr>
          <w:b/>
          <w:color w:val="231F20"/>
        </w:rPr>
        <w:t>reinvestment plan</w:t>
      </w:r>
      <w:r>
        <w:rPr>
          <w:color w:val="231F20"/>
        </w:rPr>
        <w:t>, also called a §1031 transaction or exchange.</w:t>
      </w:r>
    </w:p>
    <w:p>
      <w:pPr>
        <w:pStyle w:val="BodyText"/>
        <w:spacing w:before="180"/>
      </w:pP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classifications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real</w:t>
      </w:r>
      <w:r>
        <w:rPr>
          <w:color w:val="231F20"/>
          <w:spacing w:val="-4"/>
        </w:rPr>
        <w:t> </w:t>
      </w:r>
      <w:r>
        <w:rPr>
          <w:color w:val="231F20"/>
        </w:rPr>
        <w:t>estate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§1031</w:t>
      </w:r>
      <w:r>
        <w:rPr>
          <w:color w:val="231F20"/>
          <w:spacing w:val="-4"/>
        </w:rPr>
        <w:t> </w:t>
      </w:r>
      <w:r>
        <w:rPr>
          <w:color w:val="231F20"/>
        </w:rPr>
        <w:t>like- kind property in reinvestment plans:</w:t>
      </w:r>
    </w:p>
    <w:p>
      <w:pPr>
        <w:pStyle w:val="ListParagraph"/>
        <w:numPr>
          <w:ilvl w:val="0"/>
          <w:numId w:val="1"/>
        </w:numPr>
        <w:tabs>
          <w:tab w:pos="641" w:val="left" w:leader="none"/>
        </w:tabs>
        <w:spacing w:line="240" w:lineRule="auto" w:before="90" w:after="0"/>
        <w:ind w:left="641" w:right="39" w:hanging="270"/>
        <w:jc w:val="left"/>
        <w:rPr>
          <w:sz w:val="22"/>
        </w:rPr>
      </w:pPr>
      <w:r>
        <w:rPr>
          <w:b/>
          <w:color w:val="231F20"/>
          <w:sz w:val="22"/>
        </w:rPr>
        <w:t>investment</w:t>
      </w:r>
      <w:r>
        <w:rPr>
          <w:b/>
          <w:color w:val="231F20"/>
          <w:spacing w:val="40"/>
          <w:sz w:val="22"/>
        </w:rPr>
        <w:t> </w:t>
      </w:r>
      <w:r>
        <w:rPr>
          <w:b/>
          <w:color w:val="231F20"/>
          <w:sz w:val="22"/>
        </w:rPr>
        <w:t>property</w:t>
      </w:r>
      <w:r>
        <w:rPr>
          <w:color w:val="231F20"/>
          <w:sz w:val="22"/>
        </w:rPr>
        <w:t>,</w:t>
      </w:r>
      <w:r>
        <w:rPr>
          <w:color w:val="231F20"/>
          <w:spacing w:val="40"/>
          <w:sz w:val="22"/>
        </w:rPr>
        <w:t> </w:t>
      </w:r>
      <w:r>
        <w:rPr>
          <w:color w:val="231F20"/>
          <w:sz w:val="22"/>
        </w:rPr>
        <w:t>also</w:t>
      </w:r>
      <w:r>
        <w:rPr>
          <w:color w:val="231F20"/>
          <w:spacing w:val="40"/>
          <w:sz w:val="22"/>
        </w:rPr>
        <w:t> </w:t>
      </w:r>
      <w:r>
        <w:rPr>
          <w:color w:val="231F20"/>
          <w:sz w:val="22"/>
        </w:rPr>
        <w:t>labeled</w:t>
      </w:r>
      <w:r>
        <w:rPr>
          <w:color w:val="231F20"/>
          <w:spacing w:val="40"/>
          <w:sz w:val="22"/>
        </w:rPr>
        <w:t> </w:t>
      </w:r>
      <w:r>
        <w:rPr>
          <w:color w:val="231F20"/>
          <w:sz w:val="22"/>
        </w:rPr>
        <w:t>as</w:t>
      </w:r>
      <w:r>
        <w:rPr>
          <w:color w:val="231F20"/>
          <w:spacing w:val="40"/>
          <w:sz w:val="22"/>
        </w:rPr>
        <w:t> </w:t>
      </w:r>
      <w:r>
        <w:rPr>
          <w:color w:val="231F20"/>
          <w:sz w:val="22"/>
        </w:rPr>
        <w:t>capital assets; and</w:t>
      </w:r>
    </w:p>
    <w:p>
      <w:pPr>
        <w:pStyle w:val="ListParagraph"/>
        <w:numPr>
          <w:ilvl w:val="0"/>
          <w:numId w:val="1"/>
        </w:numPr>
        <w:tabs>
          <w:tab w:pos="641" w:val="left" w:leader="none"/>
        </w:tabs>
        <w:spacing w:line="240" w:lineRule="auto" w:before="90" w:after="0"/>
        <w:ind w:left="641" w:right="38" w:hanging="270"/>
        <w:jc w:val="left"/>
        <w:rPr>
          <w:sz w:val="22"/>
        </w:rPr>
      </w:pPr>
      <w:r>
        <w:rPr>
          <w:b/>
          <w:color w:val="231F20"/>
          <w:sz w:val="22"/>
        </w:rPr>
        <w:t>business-use property</w:t>
      </w:r>
      <w:r>
        <w:rPr>
          <w:color w:val="231F20"/>
          <w:sz w:val="22"/>
        </w:rPr>
        <w:t>, which is property held for productive use in a trade or business.</w:t>
      </w:r>
    </w:p>
    <w:p>
      <w:pPr>
        <w:pStyle w:val="BodyText"/>
        <w:spacing w:before="180"/>
      </w:pPr>
      <w:r>
        <w:rPr>
          <w:color w:val="231F20"/>
        </w:rPr>
        <w:t>§1031</w:t>
      </w:r>
      <w:r>
        <w:rPr>
          <w:color w:val="231F20"/>
          <w:spacing w:val="-2"/>
        </w:rPr>
        <w:t> </w:t>
      </w:r>
      <w:r>
        <w:rPr>
          <w:color w:val="231F20"/>
        </w:rPr>
        <w:t>investment</w:t>
      </w:r>
      <w:r>
        <w:rPr>
          <w:color w:val="231F20"/>
          <w:spacing w:val="-1"/>
        </w:rPr>
        <w:t> </w:t>
      </w:r>
      <w:r>
        <w:rPr>
          <w:color w:val="231F20"/>
        </w:rPr>
        <w:t>property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includes:</w:t>
      </w:r>
    </w:p>
    <w:p>
      <w:pPr>
        <w:pStyle w:val="ListParagraph"/>
        <w:numPr>
          <w:ilvl w:val="0"/>
          <w:numId w:val="1"/>
        </w:numPr>
        <w:tabs>
          <w:tab w:pos="641" w:val="left" w:leader="none"/>
        </w:tabs>
        <w:spacing w:line="240" w:lineRule="auto" w:before="90" w:after="0"/>
        <w:ind w:left="641" w:right="39" w:hanging="270"/>
        <w:jc w:val="left"/>
        <w:rPr>
          <w:sz w:val="22"/>
        </w:rPr>
      </w:pPr>
      <w:r>
        <w:rPr>
          <w:color w:val="231F20"/>
          <w:sz w:val="22"/>
        </w:rPr>
        <w:t>residential and commercial (passive) rental real estate requiring active management;</w:t>
      </w:r>
    </w:p>
    <w:p>
      <w:pPr>
        <w:pStyle w:val="ListParagraph"/>
        <w:numPr>
          <w:ilvl w:val="0"/>
          <w:numId w:val="1"/>
        </w:numPr>
        <w:tabs>
          <w:tab w:pos="640" w:val="left" w:leader="none"/>
        </w:tabs>
        <w:spacing w:line="240" w:lineRule="auto" w:before="90" w:after="0"/>
        <w:ind w:left="640" w:right="39" w:hanging="270"/>
        <w:jc w:val="left"/>
        <w:rPr>
          <w:sz w:val="22"/>
        </w:rPr>
      </w:pPr>
      <w:r>
        <w:rPr>
          <w:color w:val="231F20"/>
          <w:sz w:val="22"/>
        </w:rPr>
        <w:t>investment</w:t>
      </w:r>
      <w:r>
        <w:rPr>
          <w:color w:val="231F20"/>
          <w:spacing w:val="40"/>
          <w:sz w:val="22"/>
        </w:rPr>
        <w:t> </w:t>
      </w:r>
      <w:r>
        <w:rPr>
          <w:color w:val="231F20"/>
          <w:sz w:val="22"/>
        </w:rPr>
        <w:t>(portfolio)</w:t>
      </w:r>
      <w:r>
        <w:rPr>
          <w:color w:val="231F20"/>
          <w:spacing w:val="40"/>
          <w:sz w:val="22"/>
        </w:rPr>
        <w:t> </w:t>
      </w:r>
      <w:r>
        <w:rPr>
          <w:color w:val="231F20"/>
          <w:sz w:val="22"/>
        </w:rPr>
        <w:t>real</w:t>
      </w:r>
      <w:r>
        <w:rPr>
          <w:color w:val="231F20"/>
          <w:spacing w:val="40"/>
          <w:sz w:val="22"/>
        </w:rPr>
        <w:t> </w:t>
      </w:r>
      <w:r>
        <w:rPr>
          <w:color w:val="231F20"/>
          <w:sz w:val="22"/>
        </w:rPr>
        <w:t>estate</w:t>
      </w:r>
      <w:r>
        <w:rPr>
          <w:color w:val="231F20"/>
          <w:spacing w:val="40"/>
          <w:sz w:val="22"/>
        </w:rPr>
        <w:t> </w:t>
      </w:r>
      <w:r>
        <w:rPr>
          <w:color w:val="231F20"/>
          <w:sz w:val="22"/>
        </w:rPr>
        <w:t>not</w:t>
      </w:r>
      <w:r>
        <w:rPr>
          <w:color w:val="231F20"/>
          <w:spacing w:val="40"/>
          <w:sz w:val="22"/>
        </w:rPr>
        <w:t> </w:t>
      </w:r>
      <w:r>
        <w:rPr>
          <w:color w:val="231F20"/>
          <w:sz w:val="22"/>
        </w:rPr>
        <w:t>requiring active management; and</w:t>
      </w:r>
    </w:p>
    <w:p>
      <w:pPr>
        <w:pStyle w:val="ListParagraph"/>
        <w:numPr>
          <w:ilvl w:val="0"/>
          <w:numId w:val="1"/>
        </w:numPr>
        <w:tabs>
          <w:tab w:pos="639" w:val="left" w:leader="none"/>
        </w:tabs>
        <w:spacing w:line="240" w:lineRule="auto" w:before="90" w:after="0"/>
        <w:ind w:left="639" w:right="0" w:hanging="269"/>
        <w:jc w:val="left"/>
        <w:rPr>
          <w:sz w:val="22"/>
        </w:rPr>
      </w:pPr>
      <w:r>
        <w:rPr>
          <w:color w:val="231F20"/>
          <w:sz w:val="22"/>
        </w:rPr>
        <w:t>vacation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homes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held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for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profit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or</w:t>
      </w:r>
      <w:r>
        <w:rPr>
          <w:color w:val="231F20"/>
          <w:spacing w:val="-1"/>
          <w:sz w:val="22"/>
        </w:rPr>
        <w:t> </w:t>
      </w:r>
      <w:r>
        <w:rPr>
          <w:color w:val="231F20"/>
          <w:spacing w:val="-2"/>
          <w:sz w:val="22"/>
        </w:rPr>
        <w:t>resale.</w:t>
      </w:r>
    </w:p>
    <w:p>
      <w:pPr>
        <w:pStyle w:val="BodyText"/>
        <w:spacing w:before="180"/>
        <w:ind w:right="38" w:hanging="1"/>
        <w:jc w:val="both"/>
      </w:pPr>
      <w:r>
        <w:rPr>
          <w:color w:val="231F20"/>
        </w:rPr>
        <w:t>Business-use</w:t>
      </w:r>
      <w:r>
        <w:rPr>
          <w:color w:val="231F20"/>
          <w:spacing w:val="-8"/>
        </w:rPr>
        <w:t> </w:t>
      </w:r>
      <w:r>
        <w:rPr>
          <w:color w:val="231F20"/>
        </w:rPr>
        <w:t>property</w:t>
      </w:r>
      <w:r>
        <w:rPr>
          <w:color w:val="231F20"/>
          <w:spacing w:val="-8"/>
        </w:rPr>
        <w:t> </w:t>
      </w:r>
      <w:r>
        <w:rPr>
          <w:color w:val="231F20"/>
        </w:rPr>
        <w:t>is</w:t>
      </w:r>
      <w:r>
        <w:rPr>
          <w:color w:val="231F20"/>
          <w:spacing w:val="-8"/>
        </w:rPr>
        <w:t> </w:t>
      </w:r>
      <w:r>
        <w:rPr>
          <w:color w:val="231F20"/>
        </w:rPr>
        <w:t>real</w:t>
      </w:r>
      <w:r>
        <w:rPr>
          <w:color w:val="231F20"/>
          <w:spacing w:val="-8"/>
        </w:rPr>
        <w:t> </w:t>
      </w:r>
      <w:r>
        <w:rPr>
          <w:color w:val="231F20"/>
        </w:rPr>
        <w:t>estate</w:t>
      </w:r>
      <w:r>
        <w:rPr>
          <w:color w:val="231F20"/>
          <w:spacing w:val="-8"/>
        </w:rPr>
        <w:t> </w:t>
      </w:r>
      <w:r>
        <w:rPr>
          <w:color w:val="231F20"/>
        </w:rPr>
        <w:t>used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house</w:t>
      </w:r>
      <w:r>
        <w:rPr>
          <w:color w:val="231F20"/>
          <w:spacing w:val="-8"/>
        </w:rPr>
        <w:t> </w:t>
      </w:r>
      <w:r>
        <w:rPr>
          <w:color w:val="231F20"/>
        </w:rPr>
        <w:t>an owner’s</w:t>
      </w:r>
      <w:r>
        <w:rPr>
          <w:color w:val="231F20"/>
          <w:spacing w:val="-2"/>
        </w:rPr>
        <w:t> </w:t>
      </w:r>
      <w:r>
        <w:rPr>
          <w:color w:val="231F20"/>
        </w:rPr>
        <w:t>trade</w:t>
      </w:r>
      <w:r>
        <w:rPr>
          <w:color w:val="231F20"/>
          <w:spacing w:val="-2"/>
        </w:rPr>
        <w:t> </w:t>
      </w:r>
      <w:r>
        <w:rPr>
          <w:color w:val="231F20"/>
        </w:rPr>
        <w:t>or</w:t>
      </w:r>
      <w:r>
        <w:rPr>
          <w:color w:val="231F20"/>
          <w:spacing w:val="-2"/>
        </w:rPr>
        <w:t> </w:t>
      </w:r>
      <w:r>
        <w:rPr>
          <w:color w:val="231F20"/>
        </w:rPr>
        <w:t>business</w:t>
      </w:r>
      <w:r>
        <w:rPr>
          <w:color w:val="231F20"/>
          <w:spacing w:val="-2"/>
        </w:rPr>
        <w:t> </w:t>
      </w:r>
      <w:r>
        <w:rPr>
          <w:color w:val="231F20"/>
        </w:rPr>
        <w:t>and</w:t>
      </w:r>
      <w:r>
        <w:rPr>
          <w:color w:val="231F20"/>
          <w:spacing w:val="-2"/>
        </w:rPr>
        <w:t> </w:t>
      </w:r>
      <w:r>
        <w:rPr>
          <w:color w:val="231F20"/>
        </w:rPr>
        <w:t>includes</w:t>
      </w:r>
      <w:r>
        <w:rPr>
          <w:color w:val="231F20"/>
          <w:spacing w:val="-2"/>
        </w:rPr>
        <w:t> </w:t>
      </w:r>
      <w:r>
        <w:rPr>
          <w:color w:val="231F20"/>
        </w:rPr>
        <w:t>hotel</w:t>
      </w:r>
      <w:r>
        <w:rPr>
          <w:color w:val="231F20"/>
          <w:spacing w:val="-2"/>
        </w:rPr>
        <w:t> </w:t>
      </w:r>
      <w:r>
        <w:rPr>
          <w:color w:val="231F20"/>
        </w:rPr>
        <w:t>or</w:t>
      </w:r>
      <w:r>
        <w:rPr>
          <w:color w:val="231F20"/>
          <w:spacing w:val="-2"/>
        </w:rPr>
        <w:t> </w:t>
      </w:r>
      <w:r>
        <w:rPr>
          <w:color w:val="231F20"/>
        </w:rPr>
        <w:t>motel </w:t>
      </w:r>
      <w:r>
        <w:rPr>
          <w:color w:val="231F20"/>
          <w:spacing w:val="-2"/>
        </w:rPr>
        <w:t>operations.</w:t>
      </w:r>
    </w:p>
    <w:p>
      <w:pPr>
        <w:pStyle w:val="BodyText"/>
        <w:spacing w:before="93"/>
        <w:ind w:right="117"/>
        <w:jc w:val="both"/>
      </w:pPr>
      <w:r>
        <w:rPr/>
        <w:br w:type="column"/>
      </w:r>
      <w:r>
        <w:rPr>
          <w:color w:val="231F20"/>
        </w:rPr>
        <w:t>However, before business-use property qualifies as like-kind property, it must be owned for at least one year before it is sold or exchanged. Business-use property is unlike investment property which has no holding period requirement before disposition.</w:t>
      </w:r>
    </w:p>
    <w:p>
      <w:pPr>
        <w:pStyle w:val="BodyText"/>
        <w:spacing w:before="180"/>
        <w:ind w:right="116"/>
        <w:jc w:val="both"/>
      </w:pPr>
      <w:r>
        <w:rPr>
          <w:color w:val="231F20"/>
          <w:spacing w:val="-2"/>
        </w:rPr>
        <w:t>After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one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year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ownership,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business-use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property </w:t>
      </w:r>
      <w:r>
        <w:rPr>
          <w:color w:val="231F20"/>
        </w:rPr>
        <w:t>may be sold and replaced in a §1031 reinvestment plan by purchasing either business-use property or </w:t>
      </w:r>
      <w:r>
        <w:rPr>
          <w:color w:val="231F20"/>
          <w:spacing w:val="-4"/>
        </w:rPr>
        <w:t>investment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property.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Similarly,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investment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property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may </w:t>
      </w:r>
      <w:r>
        <w:rPr>
          <w:color w:val="231F20"/>
        </w:rPr>
        <w:t>be sold and replaced by either business-use property or investment property in a §1031 reinvestment plan.</w:t>
      </w:r>
    </w:p>
    <w:p>
      <w:pPr>
        <w:pStyle w:val="BodyText"/>
        <w:spacing w:before="180"/>
        <w:ind w:right="117"/>
        <w:jc w:val="both"/>
      </w:pPr>
      <w:r>
        <w:rPr>
          <w:color w:val="231F20"/>
        </w:rPr>
        <w:t>Conversely, while a principal residence is a capital asset,</w:t>
      </w:r>
      <w:r>
        <w:rPr>
          <w:color w:val="231F20"/>
          <w:spacing w:val="26"/>
        </w:rPr>
        <w:t> </w:t>
      </w:r>
      <w:r>
        <w:rPr>
          <w:color w:val="231F20"/>
        </w:rPr>
        <w:t>it</w:t>
      </w:r>
      <w:r>
        <w:rPr>
          <w:color w:val="231F20"/>
          <w:spacing w:val="26"/>
        </w:rPr>
        <w:t> </w:t>
      </w:r>
      <w:r>
        <w:rPr>
          <w:color w:val="231F20"/>
        </w:rPr>
        <w:t>does</w:t>
      </w:r>
      <w:r>
        <w:rPr>
          <w:color w:val="231F20"/>
          <w:spacing w:val="26"/>
        </w:rPr>
        <w:t> </w:t>
      </w:r>
      <w:r>
        <w:rPr>
          <w:color w:val="231F20"/>
        </w:rPr>
        <w:t>not</w:t>
      </w:r>
      <w:r>
        <w:rPr>
          <w:color w:val="231F20"/>
          <w:spacing w:val="26"/>
        </w:rPr>
        <w:t> </w:t>
      </w:r>
      <w:r>
        <w:rPr>
          <w:color w:val="231F20"/>
        </w:rPr>
        <w:t>qualify</w:t>
      </w:r>
      <w:r>
        <w:rPr>
          <w:color w:val="231F20"/>
          <w:spacing w:val="26"/>
        </w:rPr>
        <w:t> </w:t>
      </w:r>
      <w:r>
        <w:rPr>
          <w:color w:val="231F20"/>
        </w:rPr>
        <w:t>as</w:t>
      </w:r>
      <w:r>
        <w:rPr>
          <w:color w:val="231F20"/>
          <w:spacing w:val="26"/>
        </w:rPr>
        <w:t> </w:t>
      </w:r>
      <w:r>
        <w:rPr>
          <w:color w:val="231F20"/>
        </w:rPr>
        <w:t>§1031</w:t>
      </w:r>
      <w:r>
        <w:rPr>
          <w:color w:val="231F20"/>
          <w:spacing w:val="26"/>
        </w:rPr>
        <w:t> </w:t>
      </w:r>
      <w:r>
        <w:rPr>
          <w:color w:val="231F20"/>
        </w:rPr>
        <w:t>property</w:t>
      </w:r>
      <w:r>
        <w:rPr>
          <w:color w:val="231F20"/>
          <w:spacing w:val="26"/>
        </w:rPr>
        <w:t> </w:t>
      </w:r>
      <w:r>
        <w:rPr>
          <w:color w:val="231F20"/>
        </w:rPr>
        <w:t>since</w:t>
      </w:r>
      <w:r>
        <w:rPr>
          <w:color w:val="231F20"/>
          <w:spacing w:val="26"/>
        </w:rPr>
        <w:t> </w:t>
      </w:r>
      <w:r>
        <w:rPr>
          <w:color w:val="231F20"/>
        </w:rPr>
        <w:t>it is neither used in a business nor held for passive or portfolio investment purposes.</w:t>
      </w:r>
    </w:p>
    <w:p>
      <w:pPr>
        <w:pStyle w:val="BodyText"/>
        <w:spacing w:before="180"/>
        <w:ind w:right="117"/>
        <w:jc w:val="both"/>
      </w:pPr>
      <w:r>
        <w:rPr>
          <w:color w:val="231F20"/>
        </w:rPr>
        <w:t>Further, properties transferred — exchanged –– between related persons in a §1031 transaction must be held by both persons for a minimum of two years after acquisition.</w:t>
      </w:r>
    </w:p>
    <w:p>
      <w:pPr>
        <w:spacing w:after="0"/>
        <w:jc w:val="both"/>
        <w:sectPr>
          <w:type w:val="continuous"/>
          <w:pgSz w:w="12240" w:h="15840"/>
          <w:pgMar w:top="720" w:bottom="280" w:left="620" w:right="600"/>
          <w:cols w:num="2" w:equalWidth="0">
            <w:col w:w="5362" w:space="218"/>
            <w:col w:w="5440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2"/>
        <w:ind w:left="0"/>
        <w:rPr>
          <w:sz w:val="20"/>
        </w:rPr>
      </w:pPr>
    </w:p>
    <w:p>
      <w:pPr>
        <w:spacing w:line="249" w:lineRule="auto" w:before="0"/>
        <w:ind w:left="776" w:right="8363" w:firstLine="0"/>
        <w:jc w:val="left"/>
        <w:rPr>
          <w:b/>
          <w:sz w:val="20"/>
        </w:rPr>
      </w:pPr>
      <w:r>
        <w:rPr>
          <w:b/>
          <w:sz w:val="20"/>
        </w:rPr>
        <w:t>Christy Dumlao Real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Estate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Broker</w:t>
      </w:r>
    </w:p>
    <w:p>
      <w:pPr>
        <w:spacing w:before="122"/>
        <w:ind w:left="778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5689014</wp:posOffset>
            </wp:positionH>
            <wp:positionV relativeFrom="paragraph">
              <wp:posOffset>98048</wp:posOffset>
            </wp:positionV>
            <wp:extent cx="600807" cy="692902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807" cy="692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DRE</w:t>
      </w:r>
      <w:r>
        <w:rPr>
          <w:spacing w:val="-4"/>
          <w:sz w:val="20"/>
        </w:rPr>
        <w:t> </w:t>
      </w:r>
      <w:r>
        <w:rPr>
          <w:sz w:val="20"/>
        </w:rPr>
        <w:t>LIC#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01474985</w:t>
      </w:r>
    </w:p>
    <w:p>
      <w:pPr>
        <w:spacing w:before="10"/>
        <w:ind w:left="778" w:right="0" w:firstLine="0"/>
        <w:jc w:val="left"/>
        <w:rPr>
          <w:sz w:val="20"/>
        </w:rPr>
      </w:pPr>
      <w:r>
        <w:rPr>
          <w:spacing w:val="-2"/>
          <w:sz w:val="20"/>
        </w:rPr>
        <w:t>925-395-</w:t>
      </w:r>
      <w:r>
        <w:rPr>
          <w:spacing w:val="-4"/>
          <w:sz w:val="20"/>
        </w:rPr>
        <w:t>0175</w:t>
      </w:r>
    </w:p>
    <w:p>
      <w:pPr>
        <w:spacing w:line="249" w:lineRule="auto" w:before="10"/>
        <w:ind w:left="778" w:right="5380" w:firstLine="0"/>
        <w:jc w:val="left"/>
        <w:rPr>
          <w:sz w:val="20"/>
        </w:rPr>
      </w:pPr>
      <w:hyperlink r:id="rId7">
        <w:r>
          <w:rPr>
            <w:spacing w:val="-2"/>
            <w:sz w:val="20"/>
          </w:rPr>
          <w:t>christy@christyscarealty.com</w:t>
        </w:r>
      </w:hyperlink>
      <w:r>
        <w:rPr>
          <w:spacing w:val="-2"/>
          <w:sz w:val="20"/>
        </w:rPr>
        <w:t> christyscaliforniarealty.com</w:t>
      </w:r>
    </w:p>
    <w:sectPr>
      <w:type w:val="continuous"/>
      <w:pgSz w:w="12240" w:h="15840"/>
      <w:pgMar w:top="72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641" w:hanging="27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12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4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56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28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0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72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44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17" w:hanging="27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1"/>
    </w:pPr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40" w:lineRule="exact"/>
    </w:pPr>
    <w:rPr>
      <w:rFonts w:ascii="Arial" w:hAnsi="Arial" w:eastAsia="Arial" w:cs="Arial"/>
      <w:b/>
      <w:bCs/>
      <w:sz w:val="57"/>
      <w:szCs w:val="57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0"/>
      <w:ind w:left="641" w:right="39" w:hanging="27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christy@christyscarealty.com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2024-09-08T23:21:39Z</dcterms:created>
  <dcterms:modified xsi:type="dcterms:W3CDTF">2024-09-08T23:21:39Z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2024-09-08T00:00:00Z</vt:filetime>
  </property>
  <property fmtid="{D5CDD505-2E9C-101B-9397-08002B2CF9AE}" pid="5" name="Producer">
    <vt:lpwstr>Adobe LiveCycle Designer 11.0</vt:lpwstr>
  </property>
</Properties>
</file>