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rPr>
      </w:pPr>
      <w:r>
        <w:rPr>
          <w:rFonts w:ascii="Times New Roman"/>
        </w:rPr>
        <mc:AlternateContent>
          <mc:Choice Requires="wps">
            <w:drawing>
              <wp:inline distT="0" distB="0" distL="0" distR="0">
                <wp:extent cx="7315200" cy="2944495"/>
                <wp:effectExtent l="0" t="0" r="0" b="8255"/>
                <wp:docPr id="4" name="Group 4"/>
                <wp:cNvGraphicFramePr>
                  <a:graphicFrameLocks/>
                </wp:cNvGraphicFramePr>
                <a:graphic>
                  <a:graphicData uri="http://schemas.microsoft.com/office/word/2010/wordprocessingGroup">
                    <wpg:wgp>
                      <wpg:cNvPr id="4" name="Group 4"/>
                      <wpg:cNvGrpSpPr/>
                      <wpg:grpSpPr>
                        <a:xfrm>
                          <a:off x="0" y="0"/>
                          <a:ext cx="7315200" cy="2944495"/>
                          <a:chExt cx="7315200" cy="2944495"/>
                        </a:xfrm>
                      </wpg:grpSpPr>
                      <pic:pic>
                        <pic:nvPicPr>
                          <pic:cNvPr id="5" name="Image 5"/>
                          <pic:cNvPicPr/>
                        </pic:nvPicPr>
                        <pic:blipFill>
                          <a:blip r:embed="rId6" cstate="print"/>
                          <a:stretch>
                            <a:fillRect/>
                          </a:stretch>
                        </pic:blipFill>
                        <pic:spPr>
                          <a:xfrm>
                            <a:off x="0" y="0"/>
                            <a:ext cx="7315200" cy="2944368"/>
                          </a:xfrm>
                          <a:prstGeom prst="rect">
                            <a:avLst/>
                          </a:prstGeom>
                        </pic:spPr>
                      </pic:pic>
                      <wps:wsp>
                        <wps:cNvPr id="6" name="Textbox 6"/>
                        <wps:cNvSpPr txBox="1"/>
                        <wps:spPr>
                          <a:xfrm>
                            <a:off x="0" y="1453896"/>
                            <a:ext cx="7315200" cy="1201420"/>
                          </a:xfrm>
                          <a:prstGeom prst="rect">
                            <a:avLst/>
                          </a:prstGeom>
                          <a:solidFill>
                            <a:srgbClr val="D2232A">
                              <a:alpha val="79998"/>
                            </a:srgbClr>
                          </a:solidFill>
                        </wps:spPr>
                        <wps:txbx>
                          <w:txbxContent>
                            <w:p>
                              <w:pPr>
                                <w:spacing w:line="249" w:lineRule="auto" w:before="138"/>
                                <w:ind w:left="681" w:right="592" w:firstLine="0"/>
                                <w:jc w:val="center"/>
                                <w:rPr>
                                  <w:rFonts w:ascii="Times New Roman" w:hAnsi="Times New Roman"/>
                                  <w:b/>
                                  <w:color w:val="000000"/>
                                  <w:sz w:val="46"/>
                                </w:rPr>
                              </w:pPr>
                              <w:r>
                                <w:rPr>
                                  <w:rFonts w:ascii="Times New Roman" w:hAnsi="Times New Roman"/>
                                  <w:b/>
                                  <w:color w:val="FFFFFF"/>
                                  <w:w w:val="110"/>
                                  <w:sz w:val="46"/>
                                </w:rPr>
                                <w:t>What’s the difference between an adjustable rate mortgage (ARM) and a fixed rate mortgage (FRM)?</w:t>
                              </w:r>
                            </w:p>
                          </w:txbxContent>
                        </wps:txbx>
                        <wps:bodyPr wrap="square" lIns="0" tIns="0" rIns="0" bIns="0" rtlCol="0">
                          <a:noAutofit/>
                        </wps:bodyPr>
                      </wps:wsp>
                    </wpg:wgp>
                  </a:graphicData>
                </a:graphic>
              </wp:inline>
            </w:drawing>
          </mc:Choice>
          <mc:Fallback>
            <w:pict>
              <v:group style="width:576pt;height:231.85pt;mso-position-horizontal-relative:char;mso-position-vertical-relative:line" id="docshapegroup3" coordorigin="0,0" coordsize="11520,4637">
                <v:shape style="position:absolute;left:0;top:0;width:11520;height:4637" type="#_x0000_t75" id="docshape4" stroked="false">
                  <v:imagedata r:id="rId6" o:title=""/>
                </v:shape>
                <v:shape style="position:absolute;left:0;top:2289;width:11520;height:1892" type="#_x0000_t202" id="docshape5" filled="true" fillcolor="#d2232a" stroked="false">
                  <v:textbox inset="0,0,0,0">
                    <w:txbxContent>
                      <w:p>
                        <w:pPr>
                          <w:spacing w:line="249" w:lineRule="auto" w:before="138"/>
                          <w:ind w:left="681" w:right="592" w:firstLine="0"/>
                          <w:jc w:val="center"/>
                          <w:rPr>
                            <w:rFonts w:ascii="Times New Roman" w:hAnsi="Times New Roman"/>
                            <w:b/>
                            <w:color w:val="000000"/>
                            <w:sz w:val="46"/>
                          </w:rPr>
                        </w:pPr>
                        <w:r>
                          <w:rPr>
                            <w:rFonts w:ascii="Times New Roman" w:hAnsi="Times New Roman"/>
                            <w:b/>
                            <w:color w:val="FFFFFF"/>
                            <w:w w:val="110"/>
                            <w:sz w:val="46"/>
                          </w:rPr>
                          <w:t>What’s the difference between an adjustable rate mortgage (ARM) and a fixed rate mortgage (FRM)?</w:t>
                        </w:r>
                      </w:p>
                    </w:txbxContent>
                  </v:textbox>
                  <v:fill opacity="52428f" type="solid"/>
                  <w10:wrap type="none"/>
                </v:shape>
              </v:group>
            </w:pict>
          </mc:Fallback>
        </mc:AlternateContent>
      </w:r>
      <w:r>
        <w:rPr>
          <w:rFonts w:ascii="Times New Roman"/>
        </w:rPr>
      </w:r>
    </w:p>
    <w:p>
      <w:pPr>
        <w:pStyle w:val="BodyText"/>
        <w:spacing w:before="21"/>
        <w:rPr>
          <w:rFonts w:ascii="Times New Roman"/>
        </w:rPr>
      </w:pPr>
    </w:p>
    <w:p>
      <w:pPr>
        <w:spacing w:after="0"/>
        <w:rPr>
          <w:rFonts w:ascii="Times New Roman"/>
        </w:rPr>
        <w:sectPr>
          <w:footerReference w:type="default" r:id="rId5"/>
          <w:type w:val="continuous"/>
          <w:pgSz w:w="12240" w:h="15840"/>
          <w:pgMar w:header="0" w:footer="2009" w:top="380" w:bottom="2200" w:left="260" w:right="260"/>
          <w:pgNumType w:start="1"/>
        </w:sectPr>
      </w:pPr>
    </w:p>
    <w:p>
      <w:pPr>
        <w:pStyle w:val="BodyText"/>
        <w:spacing w:before="94"/>
        <w:ind w:left="459" w:firstLine="695"/>
        <w:jc w:val="right"/>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ragraph">
                  <wp:posOffset>25460</wp:posOffset>
                </wp:positionV>
                <wp:extent cx="349885" cy="3702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49885" cy="370205"/>
                        </a:xfrm>
                        <a:prstGeom prst="rect">
                          <a:avLst/>
                        </a:prstGeom>
                      </wps:spPr>
                      <wps:txbx>
                        <w:txbxContent>
                          <w:p>
                            <w:pPr>
                              <w:spacing w:line="582" w:lineRule="exact" w:before="0"/>
                              <w:ind w:left="0" w:right="0" w:firstLine="0"/>
                              <w:jc w:val="left"/>
                              <w:rPr>
                                <w:b/>
                                <w:sz w:val="52"/>
                              </w:rPr>
                            </w:pPr>
                            <w:r>
                              <w:rPr>
                                <w:b/>
                                <w:color w:val="D2232A"/>
                                <w:spacing w:val="-5"/>
                                <w:sz w:val="52"/>
                              </w:rPr>
                              <w:t>A:</w:t>
                            </w:r>
                          </w:p>
                        </w:txbxContent>
                      </wps:txbx>
                      <wps:bodyPr wrap="square" lIns="0" tIns="0" rIns="0" bIns="0" rtlCol="0">
                        <a:noAutofit/>
                      </wps:bodyPr>
                    </wps:wsp>
                  </a:graphicData>
                </a:graphic>
              </wp:anchor>
            </w:drawing>
          </mc:Choice>
          <mc:Fallback>
            <w:pict>
              <v:shape style="position:absolute;margin-left:36pt;margin-top:2.004771pt;width:27.55pt;height:29.15pt;mso-position-horizontal-relative:page;mso-position-vertical-relative:paragraph;z-index:15729152" type="#_x0000_t202" id="docshape6" filled="false" stroked="false">
                <v:textbox inset="0,0,0,0">
                  <w:txbxContent>
                    <w:p>
                      <w:pPr>
                        <w:spacing w:line="582" w:lineRule="exact" w:before="0"/>
                        <w:ind w:left="0" w:right="0" w:firstLine="0"/>
                        <w:jc w:val="left"/>
                        <w:rPr>
                          <w:b/>
                          <w:sz w:val="52"/>
                        </w:rPr>
                      </w:pPr>
                      <w:r>
                        <w:rPr>
                          <w:b/>
                          <w:color w:val="D2232A"/>
                          <w:spacing w:val="-5"/>
                          <w:sz w:val="52"/>
                        </w:rPr>
                        <w:t>A:</w:t>
                      </w:r>
                    </w:p>
                  </w:txbxContent>
                </v:textbox>
                <w10:wrap type="none"/>
              </v:shape>
            </w:pict>
          </mc:Fallback>
        </mc:AlternateContent>
      </w:r>
      <w:r>
        <w:rPr>
          <w:color w:val="231F20"/>
        </w:rPr>
        <w:t>A</w:t>
      </w:r>
      <w:r>
        <w:rPr>
          <w:color w:val="231F20"/>
          <w:spacing w:val="-6"/>
        </w:rPr>
        <w:t> </w:t>
      </w:r>
      <w:r>
        <w:rPr>
          <w:b/>
          <w:color w:val="231F20"/>
        </w:rPr>
        <w:t>fixed rate mortgage (FRM) </w:t>
      </w:r>
      <w:r>
        <w:rPr>
          <w:color w:val="231F20"/>
        </w:rPr>
        <w:t>provides the classic method</w:t>
      </w:r>
      <w:r>
        <w:rPr>
          <w:color w:val="231F20"/>
          <w:spacing w:val="80"/>
        </w:rPr>
        <w:t> </w:t>
      </w:r>
      <w:r>
        <w:rPr>
          <w:color w:val="231F20"/>
        </w:rPr>
        <w:t>for</w:t>
      </w:r>
      <w:r>
        <w:rPr>
          <w:color w:val="231F20"/>
          <w:spacing w:val="80"/>
        </w:rPr>
        <w:t> </w:t>
      </w:r>
      <w:r>
        <w:rPr>
          <w:color w:val="231F20"/>
        </w:rPr>
        <w:t>calculating</w:t>
      </w:r>
      <w:r>
        <w:rPr>
          <w:color w:val="231F20"/>
          <w:spacing w:val="80"/>
        </w:rPr>
        <w:t> </w:t>
      </w:r>
      <w:r>
        <w:rPr>
          <w:color w:val="231F20"/>
        </w:rPr>
        <w:t>interest</w:t>
      </w:r>
      <w:r>
        <w:rPr>
          <w:color w:val="231F20"/>
          <w:spacing w:val="80"/>
        </w:rPr>
        <w:t> </w:t>
      </w:r>
      <w:r>
        <w:rPr>
          <w:color w:val="231F20"/>
        </w:rPr>
        <w:t>that</w:t>
      </w:r>
      <w:r>
        <w:rPr>
          <w:color w:val="231F20"/>
          <w:spacing w:val="80"/>
        </w:rPr>
        <w:t> </w:t>
      </w:r>
      <w:r>
        <w:rPr>
          <w:color w:val="231F20"/>
        </w:rPr>
        <w:t>accrues</w:t>
      </w:r>
      <w:r>
        <w:rPr>
          <w:color w:val="231F20"/>
          <w:spacing w:val="80"/>
        </w:rPr>
        <w:t> </w:t>
      </w:r>
      <w:r>
        <w:rPr>
          <w:color w:val="231F20"/>
        </w:rPr>
        <w:t>on principal</w:t>
      </w:r>
      <w:r>
        <w:rPr>
          <w:color w:val="231F20"/>
          <w:spacing w:val="39"/>
        </w:rPr>
        <w:t> </w:t>
      </w:r>
      <w:r>
        <w:rPr>
          <w:color w:val="231F20"/>
        </w:rPr>
        <w:t>over</w:t>
      </w:r>
      <w:r>
        <w:rPr>
          <w:color w:val="231F20"/>
          <w:spacing w:val="39"/>
        </w:rPr>
        <w:t> </w:t>
      </w:r>
      <w:r>
        <w:rPr>
          <w:color w:val="231F20"/>
        </w:rPr>
        <w:t>the</w:t>
      </w:r>
      <w:r>
        <w:rPr>
          <w:color w:val="231F20"/>
          <w:spacing w:val="39"/>
        </w:rPr>
        <w:t> </w:t>
      </w:r>
      <w:r>
        <w:rPr>
          <w:color w:val="231F20"/>
        </w:rPr>
        <w:t>life</w:t>
      </w:r>
      <w:r>
        <w:rPr>
          <w:color w:val="231F20"/>
          <w:spacing w:val="39"/>
        </w:rPr>
        <w:t> </w:t>
      </w:r>
      <w:r>
        <w:rPr>
          <w:color w:val="231F20"/>
        </w:rPr>
        <w:t>of</w:t>
      </w:r>
      <w:r>
        <w:rPr>
          <w:color w:val="231F20"/>
          <w:spacing w:val="39"/>
        </w:rPr>
        <w:t> </w:t>
      </w:r>
      <w:r>
        <w:rPr>
          <w:color w:val="231F20"/>
        </w:rPr>
        <w:t>a</w:t>
      </w:r>
      <w:r>
        <w:rPr>
          <w:color w:val="231F20"/>
          <w:spacing w:val="39"/>
        </w:rPr>
        <w:t> </w:t>
      </w:r>
      <w:r>
        <w:rPr>
          <w:color w:val="231F20"/>
        </w:rPr>
        <w:t>mortgage.</w:t>
      </w:r>
      <w:r>
        <w:rPr>
          <w:color w:val="231F20"/>
          <w:spacing w:val="39"/>
        </w:rPr>
        <w:t> </w:t>
      </w:r>
      <w:r>
        <w:rPr>
          <w:color w:val="231F20"/>
        </w:rPr>
        <w:t>With</w:t>
      </w:r>
      <w:r>
        <w:rPr>
          <w:color w:val="231F20"/>
          <w:spacing w:val="39"/>
        </w:rPr>
        <w:t> </w:t>
      </w:r>
      <w:r>
        <w:rPr>
          <w:color w:val="231F20"/>
        </w:rPr>
        <w:t>an</w:t>
      </w:r>
      <w:r>
        <w:rPr>
          <w:color w:val="231F20"/>
          <w:spacing w:val="39"/>
        </w:rPr>
        <w:t> </w:t>
      </w:r>
      <w:r>
        <w:rPr>
          <w:color w:val="231F20"/>
        </w:rPr>
        <w:t>FRM,</w:t>
      </w:r>
      <w:r>
        <w:rPr>
          <w:color w:val="231F20"/>
          <w:spacing w:val="39"/>
        </w:rPr>
        <w:t> </w:t>
      </w:r>
      <w:r>
        <w:rPr>
          <w:color w:val="231F20"/>
        </w:rPr>
        <w:t>the interest</w:t>
      </w:r>
      <w:r>
        <w:rPr>
          <w:color w:val="231F20"/>
          <w:spacing w:val="40"/>
        </w:rPr>
        <w:t> </w:t>
      </w:r>
      <w:r>
        <w:rPr>
          <w:color w:val="231F20"/>
        </w:rPr>
        <w:t>rate</w:t>
      </w:r>
      <w:r>
        <w:rPr>
          <w:color w:val="231F20"/>
          <w:spacing w:val="40"/>
        </w:rPr>
        <w:t> </w:t>
      </w:r>
      <w:r>
        <w:rPr>
          <w:color w:val="231F20"/>
        </w:rPr>
        <w:t>and</w:t>
      </w:r>
      <w:r>
        <w:rPr>
          <w:color w:val="231F20"/>
          <w:spacing w:val="40"/>
        </w:rPr>
        <w:t> </w:t>
      </w:r>
      <w:r>
        <w:rPr>
          <w:color w:val="231F20"/>
        </w:rPr>
        <w:t>scheduled</w:t>
      </w:r>
      <w:r>
        <w:rPr>
          <w:color w:val="231F20"/>
          <w:spacing w:val="40"/>
        </w:rPr>
        <w:t> </w:t>
      </w:r>
      <w:r>
        <w:rPr>
          <w:color w:val="231F20"/>
        </w:rPr>
        <w:t>payments</w:t>
      </w:r>
      <w:r>
        <w:rPr>
          <w:color w:val="231F20"/>
          <w:spacing w:val="40"/>
        </w:rPr>
        <w:t> </w:t>
      </w:r>
      <w:r>
        <w:rPr>
          <w:color w:val="231F20"/>
        </w:rPr>
        <w:t>remain</w:t>
      </w:r>
      <w:r>
        <w:rPr>
          <w:color w:val="231F20"/>
          <w:spacing w:val="40"/>
        </w:rPr>
        <w:t> </w:t>
      </w:r>
      <w:r>
        <w:rPr>
          <w:color w:val="231F20"/>
        </w:rPr>
        <w:t>fixed</w:t>
      </w:r>
      <w:r>
        <w:rPr>
          <w:color w:val="231F20"/>
          <w:spacing w:val="40"/>
        </w:rPr>
        <w:t> </w:t>
      </w:r>
      <w:r>
        <w:rPr>
          <w:color w:val="231F20"/>
        </w:rPr>
        <w:t>for the</w:t>
      </w:r>
      <w:r>
        <w:rPr>
          <w:color w:val="231F20"/>
          <w:spacing w:val="9"/>
        </w:rPr>
        <w:t> </w:t>
      </w:r>
      <w:r>
        <w:rPr>
          <w:color w:val="231F20"/>
        </w:rPr>
        <w:t>life</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mortgage,</w:t>
      </w:r>
      <w:r>
        <w:rPr>
          <w:color w:val="231F20"/>
          <w:spacing w:val="11"/>
        </w:rPr>
        <w:t> </w:t>
      </w:r>
      <w:r>
        <w:rPr>
          <w:color w:val="231F20"/>
        </w:rPr>
        <w:t>giving</w:t>
      </w:r>
      <w:r>
        <w:rPr>
          <w:color w:val="231F20"/>
          <w:spacing w:val="11"/>
        </w:rPr>
        <w:t> </w:t>
      </w:r>
      <w:r>
        <w:rPr>
          <w:color w:val="231F20"/>
        </w:rPr>
        <w:t>certainty</w:t>
      </w:r>
      <w:r>
        <w:rPr>
          <w:color w:val="231F20"/>
          <w:spacing w:val="11"/>
        </w:rPr>
        <w:t> </w:t>
      </w:r>
      <w:r>
        <w:rPr>
          <w:color w:val="231F20"/>
        </w:rPr>
        <w:t>to</w:t>
      </w:r>
      <w:r>
        <w:rPr>
          <w:color w:val="231F20"/>
          <w:spacing w:val="11"/>
        </w:rPr>
        <w:t> </w:t>
      </w:r>
      <w:r>
        <w:rPr>
          <w:color w:val="231F20"/>
        </w:rPr>
        <w:t>future</w:t>
      </w:r>
      <w:r>
        <w:rPr>
          <w:color w:val="231F20"/>
          <w:spacing w:val="11"/>
        </w:rPr>
        <w:t> </w:t>
      </w:r>
      <w:r>
        <w:rPr>
          <w:color w:val="231F20"/>
          <w:spacing w:val="-2"/>
        </w:rPr>
        <w:t>payment</w:t>
      </w:r>
    </w:p>
    <w:p>
      <w:pPr>
        <w:pStyle w:val="BodyText"/>
        <w:ind w:left="459"/>
      </w:pPr>
      <w:r>
        <w:rPr>
          <w:color w:val="231F20"/>
          <w:spacing w:val="-2"/>
        </w:rPr>
        <w:t>obligations.</w:t>
      </w:r>
    </w:p>
    <w:p>
      <w:pPr>
        <w:pStyle w:val="BodyText"/>
        <w:spacing w:before="200"/>
        <w:ind w:left="459"/>
        <w:jc w:val="both"/>
      </w:pPr>
      <w:r>
        <w:rPr>
          <w:color w:val="231F20"/>
        </w:rPr>
        <w:t>The</w:t>
      </w:r>
      <w:r>
        <w:rPr>
          <w:color w:val="231F20"/>
          <w:spacing w:val="-14"/>
        </w:rPr>
        <w:t> </w:t>
      </w:r>
      <w:r>
        <w:rPr>
          <w:color w:val="231F20"/>
        </w:rPr>
        <w:t>FRM</w:t>
      </w:r>
      <w:r>
        <w:rPr>
          <w:color w:val="231F20"/>
          <w:spacing w:val="-14"/>
        </w:rPr>
        <w:t> </w:t>
      </w:r>
      <w:r>
        <w:rPr>
          <w:color w:val="231F20"/>
        </w:rPr>
        <w:t>is</w:t>
      </w:r>
      <w:r>
        <w:rPr>
          <w:color w:val="231F20"/>
          <w:spacing w:val="-14"/>
        </w:rPr>
        <w:t> </w:t>
      </w:r>
      <w:r>
        <w:rPr>
          <w:color w:val="231F20"/>
        </w:rPr>
        <w:t>the</w:t>
      </w:r>
      <w:r>
        <w:rPr>
          <w:color w:val="231F20"/>
          <w:spacing w:val="-14"/>
        </w:rPr>
        <w:t> </w:t>
      </w:r>
      <w:r>
        <w:rPr>
          <w:color w:val="231F20"/>
        </w:rPr>
        <w:t>most</w:t>
      </w:r>
      <w:r>
        <w:rPr>
          <w:color w:val="231F20"/>
          <w:spacing w:val="-14"/>
        </w:rPr>
        <w:t> </w:t>
      </w:r>
      <w:r>
        <w:rPr>
          <w:color w:val="231F20"/>
        </w:rPr>
        <w:t>consumer-friendly</w:t>
      </w:r>
      <w:r>
        <w:rPr>
          <w:color w:val="231F20"/>
          <w:spacing w:val="-14"/>
        </w:rPr>
        <w:t> </w:t>
      </w:r>
      <w:r>
        <w:rPr>
          <w:color w:val="231F20"/>
        </w:rPr>
        <w:t>and</w:t>
      </w:r>
      <w:r>
        <w:rPr>
          <w:color w:val="231F20"/>
          <w:spacing w:val="-14"/>
        </w:rPr>
        <w:t> </w:t>
      </w:r>
      <w:r>
        <w:rPr>
          <w:color w:val="231F20"/>
        </w:rPr>
        <w:t>risk-free</w:t>
      </w:r>
      <w:r>
        <w:rPr>
          <w:color w:val="231F20"/>
          <w:spacing w:val="-14"/>
        </w:rPr>
        <w:t> </w:t>
      </w:r>
      <w:r>
        <w:rPr>
          <w:color w:val="231F20"/>
        </w:rPr>
        <w:t>type</w:t>
      </w:r>
      <w:r>
        <w:rPr>
          <w:color w:val="231F20"/>
          <w:spacing w:val="-14"/>
        </w:rPr>
        <w:t> </w:t>
      </w:r>
      <w:r>
        <w:rPr>
          <w:color w:val="231F20"/>
        </w:rPr>
        <w:t>of mortgage</w:t>
      </w:r>
      <w:r>
        <w:rPr>
          <w:color w:val="231F20"/>
          <w:spacing w:val="-14"/>
        </w:rPr>
        <w:t> </w:t>
      </w:r>
      <w:r>
        <w:rPr>
          <w:color w:val="231F20"/>
        </w:rPr>
        <w:t>financing.</w:t>
      </w:r>
      <w:r>
        <w:rPr>
          <w:color w:val="231F20"/>
          <w:spacing w:val="-14"/>
        </w:rPr>
        <w:t> </w:t>
      </w:r>
      <w:r>
        <w:rPr>
          <w:color w:val="231F20"/>
        </w:rPr>
        <w:t>While</w:t>
      </w:r>
      <w:r>
        <w:rPr>
          <w:color w:val="231F20"/>
          <w:spacing w:val="-14"/>
        </w:rPr>
        <w:t> </w:t>
      </w:r>
      <w:r>
        <w:rPr>
          <w:color w:val="231F20"/>
        </w:rPr>
        <w:t>always</w:t>
      </w:r>
      <w:r>
        <w:rPr>
          <w:color w:val="231F20"/>
          <w:spacing w:val="-14"/>
        </w:rPr>
        <w:t> </w:t>
      </w:r>
      <w:r>
        <w:rPr>
          <w:color w:val="231F20"/>
        </w:rPr>
        <w:t>available</w:t>
      </w:r>
      <w:r>
        <w:rPr>
          <w:color w:val="231F20"/>
          <w:spacing w:val="-14"/>
        </w:rPr>
        <w:t> </w:t>
      </w:r>
      <w:r>
        <w:rPr>
          <w:color w:val="231F20"/>
        </w:rPr>
        <w:t>for</w:t>
      </w:r>
      <w:r>
        <w:rPr>
          <w:color w:val="231F20"/>
          <w:spacing w:val="-14"/>
        </w:rPr>
        <w:t> </w:t>
      </w:r>
      <w:r>
        <w:rPr>
          <w:color w:val="231F20"/>
        </w:rPr>
        <w:t>homebuyers in need of a mortgage, FRM financing for business or investment</w:t>
      </w:r>
      <w:r>
        <w:rPr>
          <w:color w:val="231F20"/>
          <w:spacing w:val="-6"/>
        </w:rPr>
        <w:t> </w:t>
      </w:r>
      <w:r>
        <w:rPr>
          <w:color w:val="231F20"/>
        </w:rPr>
        <w:t>properties</w:t>
      </w:r>
      <w:r>
        <w:rPr>
          <w:color w:val="231F20"/>
          <w:spacing w:val="-6"/>
        </w:rPr>
        <w:t> </w:t>
      </w:r>
      <w:r>
        <w:rPr>
          <w:color w:val="231F20"/>
        </w:rPr>
        <w:t>typically</w:t>
      </w:r>
      <w:r>
        <w:rPr>
          <w:color w:val="231F20"/>
          <w:spacing w:val="-6"/>
        </w:rPr>
        <w:t> </w:t>
      </w:r>
      <w:r>
        <w:rPr>
          <w:color w:val="231F20"/>
        </w:rPr>
        <w:t>has</w:t>
      </w:r>
      <w:r>
        <w:rPr>
          <w:color w:val="231F20"/>
          <w:spacing w:val="-6"/>
        </w:rPr>
        <w:t> </w:t>
      </w:r>
      <w:r>
        <w:rPr>
          <w:color w:val="231F20"/>
        </w:rPr>
        <w:t>short</w:t>
      </w:r>
      <w:r>
        <w:rPr>
          <w:color w:val="231F20"/>
          <w:spacing w:val="-6"/>
        </w:rPr>
        <w:t> </w:t>
      </w:r>
      <w:r>
        <w:rPr>
          <w:color w:val="231F20"/>
        </w:rPr>
        <w:t>due</w:t>
      </w:r>
      <w:r>
        <w:rPr>
          <w:color w:val="231F20"/>
          <w:spacing w:val="-6"/>
        </w:rPr>
        <w:t> </w:t>
      </w:r>
      <w:r>
        <w:rPr>
          <w:color w:val="231F20"/>
        </w:rPr>
        <w:t>dates</w:t>
      </w:r>
      <w:r>
        <w:rPr>
          <w:color w:val="231F20"/>
          <w:spacing w:val="-6"/>
        </w:rPr>
        <w:t> </w:t>
      </w:r>
      <w:r>
        <w:rPr>
          <w:color w:val="231F20"/>
        </w:rPr>
        <w:t>of</w:t>
      </w:r>
      <w:r>
        <w:rPr>
          <w:color w:val="231F20"/>
          <w:spacing w:val="-6"/>
        </w:rPr>
        <w:t> </w:t>
      </w:r>
      <w:r>
        <w:rPr>
          <w:color w:val="231F20"/>
        </w:rPr>
        <w:t>three to seven years.</w:t>
      </w:r>
    </w:p>
    <w:p>
      <w:pPr>
        <w:pStyle w:val="BodyText"/>
        <w:spacing w:before="200"/>
        <w:ind w:left="459"/>
        <w:jc w:val="both"/>
      </w:pPr>
      <w:r>
        <w:rPr>
          <w:color w:val="231F20"/>
        </w:rPr>
        <w:t>An </w:t>
      </w:r>
      <w:r>
        <w:rPr>
          <w:b/>
          <w:color w:val="231F20"/>
        </w:rPr>
        <w:t>adjustable rate mortgage (ARM)</w:t>
      </w:r>
      <w:r>
        <w:rPr>
          <w:color w:val="231F20"/>
        </w:rPr>
        <w:t>, as diametrically opposed to an FRM, calls for periodic adjustments to the interest</w:t>
      </w:r>
      <w:r>
        <w:rPr>
          <w:color w:val="231F20"/>
          <w:spacing w:val="-13"/>
        </w:rPr>
        <w:t> </w:t>
      </w:r>
      <w:r>
        <w:rPr>
          <w:color w:val="231F20"/>
        </w:rPr>
        <w:t>rate.</w:t>
      </w:r>
      <w:r>
        <w:rPr>
          <w:color w:val="231F20"/>
          <w:spacing w:val="-13"/>
        </w:rPr>
        <w:t> </w:t>
      </w:r>
      <w:r>
        <w:rPr>
          <w:color w:val="231F20"/>
        </w:rPr>
        <w:t>In</w:t>
      </w:r>
      <w:r>
        <w:rPr>
          <w:color w:val="231F20"/>
          <w:spacing w:val="-13"/>
        </w:rPr>
        <w:t> </w:t>
      </w:r>
      <w:r>
        <w:rPr>
          <w:color w:val="231F20"/>
        </w:rPr>
        <w:t>turn,</w:t>
      </w:r>
      <w:r>
        <w:rPr>
          <w:color w:val="231F20"/>
          <w:spacing w:val="-13"/>
        </w:rPr>
        <w:t> </w:t>
      </w:r>
      <w:r>
        <w:rPr>
          <w:color w:val="231F20"/>
        </w:rPr>
        <w:t>the</w:t>
      </w:r>
      <w:r>
        <w:rPr>
          <w:color w:val="231F20"/>
          <w:spacing w:val="-13"/>
        </w:rPr>
        <w:t> </w:t>
      </w:r>
      <w:r>
        <w:rPr>
          <w:color w:val="231F20"/>
        </w:rPr>
        <w:t>amount</w:t>
      </w:r>
      <w:r>
        <w:rPr>
          <w:color w:val="231F20"/>
          <w:spacing w:val="-13"/>
        </w:rPr>
        <w:t> </w:t>
      </w:r>
      <w:r>
        <w:rPr>
          <w:color w:val="231F20"/>
        </w:rPr>
        <w:t>of</w:t>
      </w:r>
      <w:r>
        <w:rPr>
          <w:color w:val="231F20"/>
          <w:spacing w:val="-13"/>
        </w:rPr>
        <w:t> </w:t>
      </w:r>
      <w:r>
        <w:rPr>
          <w:color w:val="231F20"/>
        </w:rPr>
        <w:t>the</w:t>
      </w:r>
      <w:r>
        <w:rPr>
          <w:color w:val="231F20"/>
          <w:spacing w:val="-13"/>
        </w:rPr>
        <w:t> </w:t>
      </w:r>
      <w:r>
        <w:rPr>
          <w:color w:val="231F20"/>
        </w:rPr>
        <w:t>scheduled</w:t>
      </w:r>
      <w:r>
        <w:rPr>
          <w:color w:val="231F20"/>
          <w:spacing w:val="-13"/>
        </w:rPr>
        <w:t> </w:t>
      </w:r>
      <w:r>
        <w:rPr>
          <w:color w:val="231F20"/>
        </w:rPr>
        <w:t>payments fluctuates</w:t>
      </w:r>
      <w:r>
        <w:rPr>
          <w:color w:val="231F20"/>
          <w:spacing w:val="-14"/>
        </w:rPr>
        <w:t> </w:t>
      </w:r>
      <w:r>
        <w:rPr>
          <w:color w:val="231F20"/>
        </w:rPr>
        <w:t>with</w:t>
      </w:r>
      <w:r>
        <w:rPr>
          <w:color w:val="231F20"/>
          <w:spacing w:val="-14"/>
        </w:rPr>
        <w:t> </w:t>
      </w:r>
      <w:r>
        <w:rPr>
          <w:color w:val="231F20"/>
        </w:rPr>
        <w:t>each</w:t>
      </w:r>
      <w:r>
        <w:rPr>
          <w:color w:val="231F20"/>
          <w:spacing w:val="-14"/>
        </w:rPr>
        <w:t> </w:t>
      </w:r>
      <w:r>
        <w:rPr>
          <w:color w:val="231F20"/>
        </w:rPr>
        <w:t>interest</w:t>
      </w:r>
      <w:r>
        <w:rPr>
          <w:color w:val="231F20"/>
          <w:spacing w:val="-14"/>
        </w:rPr>
        <w:t> </w:t>
      </w:r>
      <w:r>
        <w:rPr>
          <w:color w:val="231F20"/>
        </w:rPr>
        <w:t>rate</w:t>
      </w:r>
      <w:r>
        <w:rPr>
          <w:color w:val="231F20"/>
          <w:spacing w:val="-14"/>
        </w:rPr>
        <w:t> </w:t>
      </w:r>
      <w:r>
        <w:rPr>
          <w:color w:val="231F20"/>
        </w:rPr>
        <w:t>adjustment</w:t>
      </w:r>
      <w:r>
        <w:rPr>
          <w:color w:val="231F20"/>
          <w:spacing w:val="-14"/>
        </w:rPr>
        <w:t> </w:t>
      </w:r>
      <w:r>
        <w:rPr>
          <w:color w:val="231F20"/>
        </w:rPr>
        <w:t>over</w:t>
      </w:r>
      <w:r>
        <w:rPr>
          <w:color w:val="231F20"/>
          <w:spacing w:val="-14"/>
        </w:rPr>
        <w:t> </w:t>
      </w:r>
      <w:r>
        <w:rPr>
          <w:color w:val="231F20"/>
        </w:rPr>
        <w:t>the</w:t>
      </w:r>
      <w:r>
        <w:rPr>
          <w:color w:val="231F20"/>
          <w:spacing w:val="-13"/>
        </w:rPr>
        <w:t> </w:t>
      </w:r>
      <w:r>
        <w:rPr>
          <w:color w:val="231F20"/>
        </w:rPr>
        <w:t>period remaining on the mortgage’s original amortization period.</w:t>
      </w:r>
    </w:p>
    <w:p>
      <w:pPr>
        <w:pStyle w:val="BodyText"/>
        <w:spacing w:before="200"/>
        <w:ind w:left="459"/>
        <w:jc w:val="both"/>
      </w:pPr>
      <w:r>
        <w:rPr>
          <w:color w:val="231F20"/>
        </w:rPr>
        <w:t>The unique feature defining all ARMs is an interest rate formula, typically comprised of:</w:t>
      </w:r>
    </w:p>
    <w:p>
      <w:pPr>
        <w:pStyle w:val="ListParagraph"/>
        <w:numPr>
          <w:ilvl w:val="0"/>
          <w:numId w:val="1"/>
        </w:numPr>
        <w:tabs>
          <w:tab w:pos="999" w:val="left" w:leader="none"/>
        </w:tabs>
        <w:spacing w:line="240" w:lineRule="auto" w:before="200" w:after="0"/>
        <w:ind w:left="999" w:right="0" w:hanging="360"/>
        <w:jc w:val="both"/>
        <w:rPr>
          <w:sz w:val="20"/>
        </w:rPr>
      </w:pPr>
      <w:r>
        <w:rPr>
          <w:color w:val="231F20"/>
          <w:sz w:val="20"/>
        </w:rPr>
        <w:t>an introductory interest rate applicable for a short period</w:t>
      </w:r>
      <w:r>
        <w:rPr>
          <w:color w:val="231F20"/>
          <w:spacing w:val="-12"/>
          <w:sz w:val="20"/>
        </w:rPr>
        <w:t> </w:t>
      </w:r>
      <w:r>
        <w:rPr>
          <w:color w:val="231F20"/>
          <w:sz w:val="20"/>
        </w:rPr>
        <w:t>of</w:t>
      </w:r>
      <w:r>
        <w:rPr>
          <w:color w:val="231F20"/>
          <w:spacing w:val="-12"/>
          <w:sz w:val="20"/>
        </w:rPr>
        <w:t> </w:t>
      </w:r>
      <w:r>
        <w:rPr>
          <w:color w:val="231F20"/>
          <w:sz w:val="20"/>
        </w:rPr>
        <w:t>several</w:t>
      </w:r>
      <w:r>
        <w:rPr>
          <w:color w:val="231F20"/>
          <w:spacing w:val="-12"/>
          <w:sz w:val="20"/>
        </w:rPr>
        <w:t> </w:t>
      </w:r>
      <w:r>
        <w:rPr>
          <w:color w:val="231F20"/>
          <w:sz w:val="20"/>
        </w:rPr>
        <w:t>months,</w:t>
      </w:r>
      <w:r>
        <w:rPr>
          <w:color w:val="231F20"/>
          <w:spacing w:val="-12"/>
          <w:sz w:val="20"/>
        </w:rPr>
        <w:t> </w:t>
      </w:r>
      <w:r>
        <w:rPr>
          <w:color w:val="231F20"/>
          <w:sz w:val="20"/>
        </w:rPr>
        <w:t>also</w:t>
      </w:r>
      <w:r>
        <w:rPr>
          <w:color w:val="231F20"/>
          <w:spacing w:val="-12"/>
          <w:sz w:val="20"/>
        </w:rPr>
        <w:t> </w:t>
      </w:r>
      <w:r>
        <w:rPr>
          <w:color w:val="231F20"/>
          <w:sz w:val="20"/>
        </w:rPr>
        <w:t>known</w:t>
      </w:r>
      <w:r>
        <w:rPr>
          <w:color w:val="231F20"/>
          <w:spacing w:val="-12"/>
          <w:sz w:val="20"/>
        </w:rPr>
        <w:t> </w:t>
      </w:r>
      <w:r>
        <w:rPr>
          <w:color w:val="231F20"/>
          <w:sz w:val="20"/>
        </w:rPr>
        <w:t>as</w:t>
      </w:r>
      <w:r>
        <w:rPr>
          <w:color w:val="231F20"/>
          <w:spacing w:val="-12"/>
          <w:sz w:val="20"/>
        </w:rPr>
        <w:t> </w:t>
      </w:r>
      <w:r>
        <w:rPr>
          <w:color w:val="231F20"/>
          <w:sz w:val="20"/>
        </w:rPr>
        <w:t>a</w:t>
      </w:r>
      <w:r>
        <w:rPr>
          <w:color w:val="231F20"/>
          <w:spacing w:val="-12"/>
          <w:sz w:val="20"/>
        </w:rPr>
        <w:t> </w:t>
      </w:r>
      <w:r>
        <w:rPr>
          <w:color w:val="231F20"/>
          <w:sz w:val="20"/>
        </w:rPr>
        <w:t>teaser</w:t>
      </w:r>
      <w:r>
        <w:rPr>
          <w:color w:val="231F20"/>
          <w:spacing w:val="-12"/>
          <w:sz w:val="20"/>
        </w:rPr>
        <w:t> </w:t>
      </w:r>
      <w:r>
        <w:rPr>
          <w:color w:val="231F20"/>
          <w:sz w:val="20"/>
        </w:rPr>
        <w:t>rate or qualifying rate;</w:t>
      </w:r>
    </w:p>
    <w:p>
      <w:pPr>
        <w:pStyle w:val="ListParagraph"/>
        <w:numPr>
          <w:ilvl w:val="0"/>
          <w:numId w:val="1"/>
        </w:numPr>
        <w:tabs>
          <w:tab w:pos="859" w:val="left" w:leader="none"/>
        </w:tabs>
        <w:spacing w:line="240" w:lineRule="auto" w:before="94" w:after="0"/>
        <w:ind w:left="859" w:right="458" w:hanging="360"/>
        <w:jc w:val="both"/>
        <w:rPr>
          <w:sz w:val="20"/>
        </w:rPr>
      </w:pPr>
      <w:r>
        <w:rPr/>
        <w:br w:type="column"/>
      </w:r>
      <w:r>
        <w:rPr>
          <w:color w:val="231F20"/>
          <w:sz w:val="20"/>
        </w:rPr>
        <w:t>an </w:t>
      </w:r>
      <w:r>
        <w:rPr>
          <w:b/>
          <w:color w:val="231F20"/>
          <w:sz w:val="20"/>
        </w:rPr>
        <w:t>index figure</w:t>
      </w:r>
      <w:r>
        <w:rPr>
          <w:color w:val="231F20"/>
          <w:sz w:val="20"/>
        </w:rPr>
        <w:t>, a proxy for future changes in the lender’s cost of funds;</w:t>
      </w:r>
    </w:p>
    <w:p>
      <w:pPr>
        <w:pStyle w:val="ListParagraph"/>
        <w:numPr>
          <w:ilvl w:val="0"/>
          <w:numId w:val="1"/>
        </w:numPr>
        <w:tabs>
          <w:tab w:pos="859" w:val="left" w:leader="none"/>
        </w:tabs>
        <w:spacing w:line="240" w:lineRule="auto" w:before="200" w:after="0"/>
        <w:ind w:left="859" w:right="459" w:hanging="360"/>
        <w:jc w:val="both"/>
        <w:rPr>
          <w:sz w:val="20"/>
        </w:rPr>
      </w:pPr>
      <w:r>
        <w:rPr>
          <w:color w:val="231F20"/>
          <w:sz w:val="20"/>
        </w:rPr>
        <w:t>a</w:t>
      </w:r>
      <w:r>
        <w:rPr>
          <w:color w:val="231F20"/>
          <w:spacing w:val="-4"/>
          <w:sz w:val="20"/>
        </w:rPr>
        <w:t> </w:t>
      </w:r>
      <w:r>
        <w:rPr>
          <w:b/>
          <w:color w:val="231F20"/>
          <w:sz w:val="20"/>
        </w:rPr>
        <w:t>margin</w:t>
      </w:r>
      <w:r>
        <w:rPr>
          <w:b/>
          <w:color w:val="231F20"/>
          <w:spacing w:val="-4"/>
          <w:sz w:val="20"/>
        </w:rPr>
        <w:t> </w:t>
      </w:r>
      <w:r>
        <w:rPr>
          <w:b/>
          <w:color w:val="231F20"/>
          <w:sz w:val="20"/>
        </w:rPr>
        <w:t>rate</w:t>
      </w:r>
      <w:r>
        <w:rPr>
          <w:color w:val="231F20"/>
          <w:sz w:val="20"/>
        </w:rPr>
        <w:t>,</w:t>
      </w:r>
      <w:r>
        <w:rPr>
          <w:color w:val="231F20"/>
          <w:spacing w:val="-4"/>
          <w:sz w:val="20"/>
        </w:rPr>
        <w:t> </w:t>
      </w:r>
      <w:r>
        <w:rPr>
          <w:color w:val="231F20"/>
          <w:sz w:val="20"/>
        </w:rPr>
        <w:t>which</w:t>
      </w:r>
      <w:r>
        <w:rPr>
          <w:color w:val="231F20"/>
          <w:spacing w:val="-4"/>
          <w:sz w:val="20"/>
        </w:rPr>
        <w:t> </w:t>
      </w:r>
      <w:r>
        <w:rPr>
          <w:color w:val="231F20"/>
          <w:sz w:val="20"/>
        </w:rPr>
        <w:t>does</w:t>
      </w:r>
      <w:r>
        <w:rPr>
          <w:color w:val="231F20"/>
          <w:spacing w:val="-4"/>
          <w:sz w:val="20"/>
        </w:rPr>
        <w:t> </w:t>
      </w:r>
      <w:r>
        <w:rPr>
          <w:color w:val="231F20"/>
          <w:sz w:val="20"/>
        </w:rPr>
        <w:t>not</w:t>
      </w:r>
      <w:r>
        <w:rPr>
          <w:color w:val="231F20"/>
          <w:spacing w:val="-4"/>
          <w:sz w:val="20"/>
        </w:rPr>
        <w:t> </w:t>
      </w:r>
      <w:r>
        <w:rPr>
          <w:color w:val="231F20"/>
          <w:sz w:val="20"/>
        </w:rPr>
        <w:t>change</w:t>
      </w:r>
      <w:r>
        <w:rPr>
          <w:color w:val="231F20"/>
          <w:spacing w:val="-4"/>
          <w:sz w:val="20"/>
        </w:rPr>
        <w:t> </w:t>
      </w:r>
      <w:r>
        <w:rPr>
          <w:color w:val="231F20"/>
          <w:sz w:val="20"/>
        </w:rPr>
        <w:t>during</w:t>
      </w:r>
      <w:r>
        <w:rPr>
          <w:color w:val="231F20"/>
          <w:spacing w:val="-4"/>
          <w:sz w:val="20"/>
        </w:rPr>
        <w:t> </w:t>
      </w:r>
      <w:r>
        <w:rPr>
          <w:color w:val="231F20"/>
          <w:sz w:val="20"/>
        </w:rPr>
        <w:t>the</w:t>
      </w:r>
      <w:r>
        <w:rPr>
          <w:color w:val="231F20"/>
          <w:spacing w:val="-4"/>
          <w:sz w:val="20"/>
        </w:rPr>
        <w:t> </w:t>
      </w:r>
      <w:r>
        <w:rPr>
          <w:color w:val="231F20"/>
          <w:sz w:val="20"/>
        </w:rPr>
        <w:t>life of the mortgage and is the earnings spread a lender adds</w:t>
      </w:r>
      <w:r>
        <w:rPr>
          <w:color w:val="231F20"/>
          <w:spacing w:val="40"/>
          <w:sz w:val="20"/>
        </w:rPr>
        <w:t> </w:t>
      </w:r>
      <w:r>
        <w:rPr>
          <w:color w:val="231F20"/>
          <w:sz w:val="20"/>
        </w:rPr>
        <w:t>to the index</w:t>
      </w:r>
      <w:r>
        <w:rPr>
          <w:color w:val="231F20"/>
          <w:spacing w:val="40"/>
          <w:sz w:val="20"/>
        </w:rPr>
        <w:t> </w:t>
      </w:r>
      <w:r>
        <w:rPr>
          <w:color w:val="231F20"/>
          <w:sz w:val="20"/>
        </w:rPr>
        <w:t>figure to determine</w:t>
      </w:r>
      <w:r>
        <w:rPr>
          <w:color w:val="231F20"/>
          <w:spacing w:val="40"/>
          <w:sz w:val="20"/>
        </w:rPr>
        <w:t> </w:t>
      </w:r>
      <w:r>
        <w:rPr>
          <w:color w:val="231F20"/>
          <w:sz w:val="20"/>
        </w:rPr>
        <w:t>the annual rate of interest charged on principal following each adjustment in the mortgage rate; and</w:t>
      </w:r>
    </w:p>
    <w:p>
      <w:pPr>
        <w:pStyle w:val="ListParagraph"/>
        <w:numPr>
          <w:ilvl w:val="0"/>
          <w:numId w:val="1"/>
        </w:numPr>
        <w:tabs>
          <w:tab w:pos="859" w:val="left" w:leader="none"/>
        </w:tabs>
        <w:spacing w:line="240" w:lineRule="auto" w:before="200" w:after="0"/>
        <w:ind w:left="859" w:right="457" w:hanging="360"/>
        <w:jc w:val="both"/>
        <w:rPr>
          <w:sz w:val="20"/>
        </w:rPr>
      </w:pPr>
      <w:r>
        <w:rPr>
          <w:color w:val="231F20"/>
          <w:sz w:val="20"/>
        </w:rPr>
        <w:t>an </w:t>
      </w:r>
      <w:r>
        <w:rPr>
          <w:b/>
          <w:color w:val="231F20"/>
          <w:sz w:val="20"/>
        </w:rPr>
        <w:t>adjustment interval </w:t>
      </w:r>
      <w:r>
        <w:rPr>
          <w:color w:val="231F20"/>
          <w:sz w:val="20"/>
        </w:rPr>
        <w:t>at the end of which the mortgage interest rate is changed to reflect a rise or fall in the index figure.</w:t>
      </w:r>
    </w:p>
    <w:p>
      <w:pPr>
        <w:pStyle w:val="BodyText"/>
        <w:spacing w:before="200"/>
        <w:ind w:left="319" w:right="457"/>
        <w:jc w:val="both"/>
      </w:pPr>
      <w:r>
        <w:rPr>
          <w:color w:val="231F20"/>
        </w:rPr>
        <w:t>The ARM’s adjusted interest rate is determined by adding the index figure to the margin rate (at set intervals, and subject to any caps or floors as limitations beyond which the mortgage rate cannot change).</w:t>
      </w:r>
    </w:p>
    <w:p>
      <w:pPr>
        <w:pStyle w:val="BodyText"/>
        <w:spacing w:before="200"/>
        <w:ind w:left="319" w:right="457"/>
        <w:jc w:val="both"/>
      </w:pPr>
      <w:r>
        <w:rPr>
          <w:color w:val="231F20"/>
        </w:rPr>
        <w:t>ARMs become popular when property prices or FRM interest rates rise faster than the rise in personal incomes. ARMs allow you to leverage the lower initial interest rate charged on an ARM (compared to the FRM rate) into a higher</w:t>
      </w:r>
      <w:r>
        <w:rPr>
          <w:color w:val="231F20"/>
          <w:spacing w:val="-10"/>
        </w:rPr>
        <w:t> </w:t>
      </w:r>
      <w:r>
        <w:rPr>
          <w:color w:val="231F20"/>
        </w:rPr>
        <w:t>mortgage</w:t>
      </w:r>
      <w:r>
        <w:rPr>
          <w:color w:val="231F20"/>
          <w:spacing w:val="-11"/>
        </w:rPr>
        <w:t> </w:t>
      </w:r>
      <w:r>
        <w:rPr>
          <w:color w:val="231F20"/>
        </w:rPr>
        <w:t>amount</w:t>
      </w:r>
      <w:r>
        <w:rPr>
          <w:color w:val="231F20"/>
          <w:spacing w:val="-10"/>
        </w:rPr>
        <w:t> </w:t>
      </w:r>
      <w:r>
        <w:rPr>
          <w:color w:val="231F20"/>
        </w:rPr>
        <w:t>to</w:t>
      </w:r>
      <w:r>
        <w:rPr>
          <w:color w:val="231F20"/>
          <w:spacing w:val="-11"/>
        </w:rPr>
        <w:t> </w:t>
      </w:r>
      <w:r>
        <w:rPr>
          <w:color w:val="231F20"/>
        </w:rPr>
        <w:t>fund</w:t>
      </w:r>
      <w:r>
        <w:rPr>
          <w:color w:val="231F20"/>
          <w:spacing w:val="-11"/>
        </w:rPr>
        <w:t> </w:t>
      </w:r>
      <w:r>
        <w:rPr>
          <w:color w:val="231F20"/>
        </w:rPr>
        <w:t>the</w:t>
      </w:r>
      <w:r>
        <w:rPr>
          <w:color w:val="231F20"/>
          <w:spacing w:val="-11"/>
        </w:rPr>
        <w:t> </w:t>
      </w:r>
      <w:r>
        <w:rPr>
          <w:color w:val="231F20"/>
        </w:rPr>
        <w:t>purchase</w:t>
      </w:r>
      <w:r>
        <w:rPr>
          <w:color w:val="231F20"/>
          <w:spacing w:val="-10"/>
        </w:rPr>
        <w:t> </w:t>
      </w:r>
      <w:r>
        <w:rPr>
          <w:color w:val="231F20"/>
        </w:rPr>
        <w:t>of</w:t>
      </w:r>
      <w:r>
        <w:rPr>
          <w:color w:val="231F20"/>
          <w:spacing w:val="-11"/>
        </w:rPr>
        <w:t> </w:t>
      </w:r>
      <w:r>
        <w:rPr>
          <w:color w:val="231F20"/>
        </w:rPr>
        <w:t>a</w:t>
      </w:r>
      <w:r>
        <w:rPr>
          <w:color w:val="231F20"/>
          <w:spacing w:val="-11"/>
        </w:rPr>
        <w:t> </w:t>
      </w:r>
      <w:r>
        <w:rPr>
          <w:color w:val="231F20"/>
        </w:rPr>
        <w:t>home.</w:t>
      </w:r>
      <w:r>
        <w:rPr>
          <w:color w:val="231F20"/>
          <w:spacing w:val="-11"/>
        </w:rPr>
        <w:t> </w:t>
      </w:r>
      <w:r>
        <w:rPr>
          <w:color w:val="231F20"/>
        </w:rPr>
        <w:t>In turn,</w:t>
      </w:r>
      <w:r>
        <w:rPr>
          <w:color w:val="231F20"/>
          <w:spacing w:val="-6"/>
        </w:rPr>
        <w:t> </w:t>
      </w:r>
      <w:r>
        <w:rPr>
          <w:color w:val="231F20"/>
        </w:rPr>
        <w:t>you</w:t>
      </w:r>
      <w:r>
        <w:rPr>
          <w:color w:val="231F20"/>
          <w:spacing w:val="-6"/>
        </w:rPr>
        <w:t> </w:t>
      </w:r>
      <w:r>
        <w:rPr>
          <w:color w:val="231F20"/>
        </w:rPr>
        <w:t>are</w:t>
      </w:r>
      <w:r>
        <w:rPr>
          <w:color w:val="231F20"/>
          <w:spacing w:val="-6"/>
        </w:rPr>
        <w:t> </w:t>
      </w:r>
      <w:r>
        <w:rPr>
          <w:color w:val="231F20"/>
        </w:rPr>
        <w:t>able</w:t>
      </w:r>
      <w:r>
        <w:rPr>
          <w:color w:val="231F20"/>
          <w:spacing w:val="-6"/>
        </w:rPr>
        <w:t> </w:t>
      </w:r>
      <w:r>
        <w:rPr>
          <w:color w:val="231F20"/>
        </w:rPr>
        <w:t>to</w:t>
      </w:r>
      <w:r>
        <w:rPr>
          <w:color w:val="231F20"/>
          <w:spacing w:val="-6"/>
        </w:rPr>
        <w:t> </w:t>
      </w:r>
      <w:r>
        <w:rPr>
          <w:color w:val="231F20"/>
        </w:rPr>
        <w:t>pay</w:t>
      </w:r>
      <w:r>
        <w:rPr>
          <w:color w:val="231F20"/>
          <w:spacing w:val="-6"/>
        </w:rPr>
        <w:t> </w:t>
      </w:r>
      <w:r>
        <w:rPr>
          <w:color w:val="231F20"/>
        </w:rPr>
        <w:t>a</w:t>
      </w:r>
      <w:r>
        <w:rPr>
          <w:color w:val="231F20"/>
          <w:spacing w:val="-6"/>
        </w:rPr>
        <w:t> </w:t>
      </w:r>
      <w:r>
        <w:rPr>
          <w:color w:val="231F20"/>
        </w:rPr>
        <w:t>higher</w:t>
      </w:r>
      <w:r>
        <w:rPr>
          <w:color w:val="231F20"/>
          <w:spacing w:val="-6"/>
        </w:rPr>
        <w:t> </w:t>
      </w:r>
      <w:r>
        <w:rPr>
          <w:color w:val="231F20"/>
        </w:rPr>
        <w:t>price</w:t>
      </w:r>
      <w:r>
        <w:rPr>
          <w:color w:val="231F20"/>
          <w:spacing w:val="-6"/>
        </w:rPr>
        <w:t> </w:t>
      </w:r>
      <w:r>
        <w:rPr>
          <w:color w:val="231F20"/>
        </w:rPr>
        <w:t>for</w:t>
      </w:r>
      <w:r>
        <w:rPr>
          <w:color w:val="231F20"/>
          <w:spacing w:val="-6"/>
        </w:rPr>
        <w:t> </w:t>
      </w:r>
      <w:r>
        <w:rPr>
          <w:color w:val="231F20"/>
        </w:rPr>
        <w:t>a</w:t>
      </w:r>
      <w:r>
        <w:rPr>
          <w:color w:val="231F20"/>
          <w:spacing w:val="-6"/>
        </w:rPr>
        <w:t> </w:t>
      </w:r>
      <w:r>
        <w:rPr>
          <w:color w:val="231F20"/>
        </w:rPr>
        <w:t>home,</w:t>
      </w:r>
      <w:r>
        <w:rPr>
          <w:color w:val="231F20"/>
          <w:spacing w:val="-6"/>
        </w:rPr>
        <w:t> </w:t>
      </w:r>
      <w:r>
        <w:rPr>
          <w:color w:val="231F20"/>
        </w:rPr>
        <w:t>but</w:t>
      </w:r>
      <w:r>
        <w:rPr>
          <w:color w:val="231F20"/>
          <w:spacing w:val="-6"/>
        </w:rPr>
        <w:t> </w:t>
      </w:r>
      <w:r>
        <w:rPr>
          <w:color w:val="231F20"/>
        </w:rPr>
        <w:t>take on the risk your payments will increase over the coming </w:t>
      </w:r>
      <w:r>
        <w:rPr>
          <w:color w:val="231F20"/>
          <w:spacing w:val="-2"/>
        </w:rPr>
        <w:t>years.</w:t>
      </w:r>
    </w:p>
    <w:p>
      <w:pPr>
        <w:spacing w:after="0"/>
        <w:jc w:val="both"/>
        <w:sectPr>
          <w:type w:val="continuous"/>
          <w:pgSz w:w="12240" w:h="15840"/>
          <w:pgMar w:header="0" w:footer="2009" w:top="380" w:bottom="2200" w:left="260" w:right="260"/>
          <w:cols w:num="2" w:equalWidth="0">
            <w:col w:w="5681" w:space="40"/>
            <w:col w:w="5999"/>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spacing w:line="249" w:lineRule="auto" w:before="0"/>
        <w:ind w:left="1136" w:right="8802"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sectPr>
      <w:type w:val="continuous"/>
      <w:pgSz w:w="12240" w:h="15840"/>
      <w:pgMar w:header="0" w:footer="2009" w:top="380" w:bottom="220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48928">
              <wp:simplePos x="0" y="0"/>
              <wp:positionH relativeFrom="page">
                <wp:posOffset>228600</wp:posOffset>
              </wp:positionH>
              <wp:positionV relativeFrom="page">
                <wp:posOffset>9715500</wp:posOffset>
              </wp:positionV>
              <wp:extent cx="7315200" cy="2286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765pt;width:576pt;height:18pt;mso-position-horizontal-relative:page;mso-position-vertical-relative:page;z-index:-15767552" id="docshape1" filled="true" fillcolor="#d2232a" stroked="false">
              <v:fill type="solid"/>
              <w10:wrap type="none"/>
            </v:rect>
          </w:pict>
        </mc:Fallback>
      </mc:AlternateContent>
    </w:r>
    <w:r>
      <w:rPr/>
      <w:drawing>
        <wp:anchor distT="0" distB="0" distL="0" distR="0" allowOverlap="1" layoutInCell="1" locked="0" behindDoc="1" simplePos="0" relativeHeight="487549440">
          <wp:simplePos x="0" y="0"/>
          <wp:positionH relativeFrom="page">
            <wp:posOffset>5689014</wp:posOffset>
          </wp:positionH>
          <wp:positionV relativeFrom="page">
            <wp:posOffset>8671685</wp:posOffset>
          </wp:positionV>
          <wp:extent cx="600807" cy="69290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600807" cy="692902"/>
                  </a:xfrm>
                  <a:prstGeom prst="rect">
                    <a:avLst/>
                  </a:prstGeom>
                </pic:spPr>
              </pic:pic>
            </a:graphicData>
          </a:graphic>
        </wp:anchor>
      </w:drawing>
    </w:r>
    <w:r>
      <w:rPr/>
      <mc:AlternateContent>
        <mc:Choice Requires="wps">
          <w:drawing>
            <wp:anchor distT="0" distB="0" distL="0" distR="0" allowOverlap="1" layoutInCell="1" locked="0" behindDoc="1" simplePos="0" relativeHeight="487549952">
              <wp:simplePos x="0" y="0"/>
              <wp:positionH relativeFrom="page">
                <wp:posOffset>875423</wp:posOffset>
              </wp:positionH>
              <wp:positionV relativeFrom="page">
                <wp:posOffset>8642925</wp:posOffset>
              </wp:positionV>
              <wp:extent cx="1671955" cy="6248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1955" cy="624840"/>
                      </a:xfrm>
                      <a:prstGeom prst="rect">
                        <a:avLst/>
                      </a:prstGeom>
                    </wps:spPr>
                    <wps:txbx>
                      <w:txbxContent>
                        <w:p>
                          <w:pPr>
                            <w:pStyle w:val="BodyText"/>
                            <w:spacing w:before="13"/>
                            <w:ind w:left="20"/>
                          </w:pPr>
                          <w:r>
                            <w:rPr/>
                            <w:t>DRE</w:t>
                          </w:r>
                          <w:r>
                            <w:rPr>
                              <w:spacing w:val="-4"/>
                            </w:rPr>
                            <w:t> </w:t>
                          </w:r>
                          <w:r>
                            <w:rPr/>
                            <w:t>LIC#</w:t>
                          </w:r>
                          <w:r>
                            <w:rPr>
                              <w:spacing w:val="-1"/>
                            </w:rPr>
                            <w:t> </w:t>
                          </w:r>
                          <w:r>
                            <w:rPr>
                              <w:spacing w:val="-2"/>
                            </w:rPr>
                            <w:t>01474985</w:t>
                          </w:r>
                        </w:p>
                        <w:p>
                          <w:pPr>
                            <w:pStyle w:val="BodyText"/>
                            <w:spacing w:before="10"/>
                            <w:ind w:left="20"/>
                          </w:pPr>
                          <w:r>
                            <w:rPr>
                              <w:spacing w:val="-2"/>
                            </w:rPr>
                            <w:t>925-395-</w:t>
                          </w:r>
                          <w:r>
                            <w:rPr>
                              <w:spacing w:val="-4"/>
                            </w:rPr>
                            <w:t>0175</w:t>
                          </w:r>
                        </w:p>
                        <w:p>
                          <w:pPr>
                            <w:pStyle w:val="BodyText"/>
                            <w:spacing w:line="249" w:lineRule="auto" w:before="10"/>
                            <w:ind w:left="20"/>
                          </w:pPr>
                          <w:hyperlink r:id="rId2">
                            <w:r>
                              <w:rPr>
                                <w:spacing w:val="-2"/>
                              </w:rPr>
                              <w:t>christy@christyscarealty.com</w:t>
                            </w:r>
                          </w:hyperlink>
                          <w:r>
                            <w:rPr>
                              <w:spacing w:val="-2"/>
                            </w:rPr>
                            <w:t> christyscaliforniarealty.com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8.931pt;margin-top:680.545288pt;width:131.65pt;height:49.2pt;mso-position-horizontal-relative:page;mso-position-vertical-relative:page;z-index:-15766528" type="#_x0000_t202" id="docshape2" filled="false" stroked="false">
              <v:textbox inset="0,0,0,0">
                <w:txbxContent>
                  <w:p>
                    <w:pPr>
                      <w:pStyle w:val="BodyText"/>
                      <w:spacing w:before="13"/>
                      <w:ind w:left="20"/>
                    </w:pPr>
                    <w:r>
                      <w:rPr/>
                      <w:t>DRE</w:t>
                    </w:r>
                    <w:r>
                      <w:rPr>
                        <w:spacing w:val="-4"/>
                      </w:rPr>
                      <w:t> </w:t>
                    </w:r>
                    <w:r>
                      <w:rPr/>
                      <w:t>LIC#</w:t>
                    </w:r>
                    <w:r>
                      <w:rPr>
                        <w:spacing w:val="-1"/>
                      </w:rPr>
                      <w:t> </w:t>
                    </w:r>
                    <w:r>
                      <w:rPr>
                        <w:spacing w:val="-2"/>
                      </w:rPr>
                      <w:t>01474985</w:t>
                    </w:r>
                  </w:p>
                  <w:p>
                    <w:pPr>
                      <w:pStyle w:val="BodyText"/>
                      <w:spacing w:before="10"/>
                      <w:ind w:left="20"/>
                    </w:pPr>
                    <w:r>
                      <w:rPr>
                        <w:spacing w:val="-2"/>
                      </w:rPr>
                      <w:t>925-395-</w:t>
                    </w:r>
                    <w:r>
                      <w:rPr>
                        <w:spacing w:val="-4"/>
                      </w:rPr>
                      <w:t>0175</w:t>
                    </w:r>
                  </w:p>
                  <w:p>
                    <w:pPr>
                      <w:pStyle w:val="BodyText"/>
                      <w:spacing w:line="249" w:lineRule="auto" w:before="10"/>
                      <w:ind w:left="20"/>
                    </w:pPr>
                    <w:hyperlink r:id="rId2">
                      <w:r>
                        <w:rPr>
                          <w:spacing w:val="-2"/>
                        </w:rPr>
                        <w:t>christy@christyscarealty.com</w:t>
                      </w:r>
                    </w:hyperlink>
                    <w:r>
                      <w:rPr>
                        <w:spacing w:val="-2"/>
                      </w:rPr>
                      <w:t> christyscaliforniarealty.com</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360"/>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468" w:hanging="360"/>
      </w:pPr>
      <w:rPr>
        <w:rFonts w:hint="default"/>
        <w:lang w:val="en-US" w:eastAsia="en-US" w:bidi="ar-SA"/>
      </w:rPr>
    </w:lvl>
    <w:lvl w:ilvl="2">
      <w:start w:val="0"/>
      <w:numFmt w:val="bullet"/>
      <w:lvlText w:val="•"/>
      <w:lvlJc w:val="left"/>
      <w:pPr>
        <w:ind w:left="1936" w:hanging="360"/>
      </w:pPr>
      <w:rPr>
        <w:rFonts w:hint="default"/>
        <w:lang w:val="en-US" w:eastAsia="en-US" w:bidi="ar-SA"/>
      </w:rPr>
    </w:lvl>
    <w:lvl w:ilvl="3">
      <w:start w:val="0"/>
      <w:numFmt w:val="bullet"/>
      <w:lvlText w:val="•"/>
      <w:lvlJc w:val="left"/>
      <w:pPr>
        <w:ind w:left="2404" w:hanging="360"/>
      </w:pPr>
      <w:rPr>
        <w:rFonts w:hint="default"/>
        <w:lang w:val="en-US" w:eastAsia="en-US" w:bidi="ar-SA"/>
      </w:rPr>
    </w:lvl>
    <w:lvl w:ilvl="4">
      <w:start w:val="0"/>
      <w:numFmt w:val="bullet"/>
      <w:lvlText w:val="•"/>
      <w:lvlJc w:val="left"/>
      <w:pPr>
        <w:ind w:left="2872" w:hanging="360"/>
      </w:pPr>
      <w:rPr>
        <w:rFonts w:hint="default"/>
        <w:lang w:val="en-US" w:eastAsia="en-US" w:bidi="ar-SA"/>
      </w:rPr>
    </w:lvl>
    <w:lvl w:ilvl="5">
      <w:start w:val="0"/>
      <w:numFmt w:val="bullet"/>
      <w:lvlText w:val="•"/>
      <w:lvlJc w:val="left"/>
      <w:pPr>
        <w:ind w:left="3340" w:hanging="360"/>
      </w:pPr>
      <w:rPr>
        <w:rFonts w:hint="default"/>
        <w:lang w:val="en-US" w:eastAsia="en-US" w:bidi="ar-SA"/>
      </w:rPr>
    </w:lvl>
    <w:lvl w:ilvl="6">
      <w:start w:val="0"/>
      <w:numFmt w:val="bullet"/>
      <w:lvlText w:val="•"/>
      <w:lvlJc w:val="left"/>
      <w:pPr>
        <w:ind w:left="3808" w:hanging="360"/>
      </w:pPr>
      <w:rPr>
        <w:rFonts w:hint="default"/>
        <w:lang w:val="en-US" w:eastAsia="en-US" w:bidi="ar-SA"/>
      </w:rPr>
    </w:lvl>
    <w:lvl w:ilvl="7">
      <w:start w:val="0"/>
      <w:numFmt w:val="bullet"/>
      <w:lvlText w:val="•"/>
      <w:lvlJc w:val="left"/>
      <w:pPr>
        <w:ind w:left="4276" w:hanging="360"/>
      </w:pPr>
      <w:rPr>
        <w:rFonts w:hint="default"/>
        <w:lang w:val="en-US" w:eastAsia="en-US" w:bidi="ar-SA"/>
      </w:rPr>
    </w:lvl>
    <w:lvl w:ilvl="8">
      <w:start w:val="0"/>
      <w:numFmt w:val="bullet"/>
      <w:lvlText w:val="•"/>
      <w:lvlJc w:val="left"/>
      <w:pPr>
        <w:ind w:left="474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Title" w:type="paragraph">
    <w:name w:val="Title"/>
    <w:basedOn w:val="Normal"/>
    <w:uiPriority w:val="1"/>
    <w:qFormat/>
    <w:pPr>
      <w:spacing w:line="582" w:lineRule="exact"/>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200"/>
      <w:ind w:left="859"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christy@christyscare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2024-09-08T22:51:41Z</dcterms:created>
  <dcterms:modified xsi:type="dcterms:W3CDTF">2024-09-08T22:51:41Z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2024-09-08T00:00:00Z</vt:filetime>
  </property>
  <property fmtid="{D5CDD505-2E9C-101B-9397-08002B2CF9AE}" pid="5" name="Producer">
    <vt:lpwstr>Adobe LiveCycle Designer 11.0</vt:lpwstr>
  </property>
</Properties>
</file>