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315200" cy="29444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5200" cy="2944495"/>
                          <a:chExt cx="7315200" cy="2944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294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847088"/>
                            <a:ext cx="7315200" cy="951230"/>
                          </a:xfrm>
                          <a:prstGeom prst="rect">
                            <a:avLst/>
                          </a:prstGeom>
                          <a:solidFill>
                            <a:srgbClr val="D2232A">
                              <a:alpha val="79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auto" w:before="263"/>
                                <w:ind w:left="3684" w:right="0" w:hanging="2865"/>
                                <w:jc w:val="left"/>
                                <w:rPr>
                                  <w:rFonts w:ascii="Times New Roman"/>
                                  <w:b/>
                                  <w:color w:val="000000"/>
                                  <w:sz w:val="4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0"/>
                                  <w:sz w:val="42"/>
                                </w:rPr>
                                <w:t>What is the Agency Law Disclosure and when is it handed to the seller?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231.85pt;mso-position-horizontal-relative:char;mso-position-vertical-relative:line" id="docshapegroup1" coordorigin="0,0" coordsize="11520,4637">
                <v:shape style="position:absolute;left:0;top:0;width:11520;height:463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908;width:11520;height:1498" type="#_x0000_t202" id="docshape3" filled="true" fillcolor="#d2232a" stroked="false">
                  <v:textbox inset="0,0,0,0">
                    <w:txbxContent>
                      <w:p>
                        <w:pPr>
                          <w:spacing w:line="249" w:lineRule="auto" w:before="263"/>
                          <w:ind w:left="3684" w:right="0" w:hanging="2865"/>
                          <w:jc w:val="left"/>
                          <w:rPr>
                            <w:rFonts w:ascii="Times New Roman"/>
                            <w:b/>
                            <w:color w:val="000000"/>
                            <w:sz w:val="4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0"/>
                            <w:sz w:val="42"/>
                          </w:rPr>
                          <w:t>What is the Agency Law Disclosure and when is it handed to the seller?</w:t>
                        </w:r>
                      </w:p>
                    </w:txbxContent>
                  </v:textbox>
                  <v:fill opacity="52428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5"/>
        <w:jc w:val="left"/>
        <w:rPr>
          <w:rFonts w:ascii="Times New Roman"/>
          <w:sz w:val="20"/>
        </w:rPr>
      </w:pP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380" w:bottom="0" w:left="260" w:right="260"/>
        </w:sectPr>
      </w:pPr>
    </w:p>
    <w:p>
      <w:pPr>
        <w:spacing w:line="249" w:lineRule="auto" w:before="94"/>
        <w:ind w:left="459" w:right="0" w:firstLine="784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19782</wp:posOffset>
                </wp:positionV>
                <wp:extent cx="394970" cy="4178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9497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5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9"/>
                              </w:rPr>
                            </w:pPr>
                            <w:r>
                              <w:rPr>
                                <w:b/>
                                <w:color w:val="D2232A"/>
                                <w:spacing w:val="-7"/>
                                <w:sz w:val="59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.557665pt;width:31.1pt;height:32.9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line="658" w:lineRule="exact" w:before="0"/>
                        <w:ind w:left="0" w:right="0" w:firstLine="0"/>
                        <w:jc w:val="left"/>
                        <w:rPr>
                          <w:b/>
                          <w:sz w:val="59"/>
                        </w:rPr>
                      </w:pPr>
                      <w:r>
                        <w:rPr>
                          <w:b/>
                          <w:color w:val="D2232A"/>
                          <w:spacing w:val="-7"/>
                          <w:sz w:val="59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z w:val="22"/>
        </w:rPr>
        <w:t>The</w:t>
      </w:r>
      <w:r>
        <w:rPr>
          <w:color w:val="231F20"/>
          <w:spacing w:val="40"/>
          <w:sz w:val="22"/>
        </w:rPr>
        <w:t> </w:t>
      </w:r>
      <w:r>
        <w:rPr>
          <w:b/>
          <w:color w:val="231F20"/>
          <w:sz w:val="22"/>
        </w:rPr>
        <w:t>Agency</w:t>
      </w:r>
      <w:r>
        <w:rPr>
          <w:b/>
          <w:color w:val="231F20"/>
          <w:spacing w:val="40"/>
          <w:sz w:val="22"/>
        </w:rPr>
        <w:t> </w:t>
      </w:r>
      <w:r>
        <w:rPr>
          <w:b/>
          <w:color w:val="231F20"/>
          <w:sz w:val="22"/>
        </w:rPr>
        <w:t>Law</w:t>
      </w:r>
      <w:r>
        <w:rPr>
          <w:b/>
          <w:color w:val="231F20"/>
          <w:spacing w:val="40"/>
          <w:sz w:val="22"/>
        </w:rPr>
        <w:t> </w:t>
      </w:r>
      <w:r>
        <w:rPr>
          <w:b/>
          <w:color w:val="231F20"/>
          <w:sz w:val="22"/>
        </w:rPr>
        <w:t>Disclosure</w:t>
      </w:r>
      <w:r>
        <w:rPr>
          <w:color w:val="231F20"/>
          <w:sz w:val="22"/>
        </w:rPr>
        <w:t>,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also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known as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40"/>
          <w:sz w:val="22"/>
        </w:rPr>
        <w:t> </w:t>
      </w:r>
      <w:r>
        <w:rPr>
          <w:b/>
          <w:color w:val="231F20"/>
          <w:sz w:val="22"/>
        </w:rPr>
        <w:t>Disclosure</w:t>
      </w:r>
      <w:r>
        <w:rPr>
          <w:b/>
          <w:color w:val="231F20"/>
          <w:spacing w:val="40"/>
          <w:sz w:val="22"/>
        </w:rPr>
        <w:t> </w:t>
      </w:r>
      <w:r>
        <w:rPr>
          <w:b/>
          <w:color w:val="231F20"/>
          <w:sz w:val="22"/>
        </w:rPr>
        <w:t>Regarding</w:t>
      </w:r>
      <w:r>
        <w:rPr>
          <w:b/>
          <w:color w:val="231F20"/>
          <w:spacing w:val="40"/>
          <w:sz w:val="22"/>
        </w:rPr>
        <w:t> </w:t>
      </w:r>
      <w:r>
        <w:rPr>
          <w:b/>
          <w:color w:val="231F20"/>
          <w:sz w:val="22"/>
        </w:rPr>
        <w:t>Real</w:t>
      </w:r>
      <w:r>
        <w:rPr>
          <w:b/>
          <w:color w:val="231F20"/>
          <w:spacing w:val="40"/>
          <w:sz w:val="22"/>
        </w:rPr>
        <w:t> </w:t>
      </w:r>
      <w:r>
        <w:rPr>
          <w:b/>
          <w:color w:val="231F20"/>
          <w:sz w:val="22"/>
        </w:rPr>
        <w:t>Estate</w:t>
      </w:r>
      <w:r>
        <w:rPr>
          <w:b/>
          <w:color w:val="231F20"/>
          <w:spacing w:val="40"/>
          <w:sz w:val="22"/>
        </w:rPr>
        <w:t> </w:t>
      </w:r>
      <w:r>
        <w:rPr>
          <w:b/>
          <w:color w:val="231F20"/>
          <w:sz w:val="22"/>
        </w:rPr>
        <w:t>Agency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Relationships</w:t>
      </w:r>
      <w:r>
        <w:rPr>
          <w:color w:val="231F20"/>
          <w:sz w:val="22"/>
        </w:rPr>
        <w:t>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sets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out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“rules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agency” that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control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conduct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estate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licensees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when dealing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members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public.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Agency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Law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Disclosure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form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restates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pre-existing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agency codes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regarding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agency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relationships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brokers</w:t>
      </w:r>
      <w:r>
        <w:rPr>
          <w:color w:val="231F20"/>
          <w:spacing w:val="17"/>
          <w:sz w:val="22"/>
        </w:rPr>
        <w:t> </w:t>
      </w:r>
      <w:r>
        <w:rPr>
          <w:color w:val="231F20"/>
          <w:spacing w:val="-5"/>
          <w:sz w:val="22"/>
        </w:rPr>
        <w:t>and</w:t>
      </w:r>
    </w:p>
    <w:p>
      <w:pPr>
        <w:pStyle w:val="BodyText"/>
        <w:spacing w:before="6"/>
        <w:ind w:left="459"/>
      </w:pPr>
      <w:r>
        <w:rPr>
          <w:color w:val="231F20"/>
        </w:rPr>
        <w:t>principals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all</w:t>
      </w:r>
      <w:r>
        <w:rPr>
          <w:color w:val="231F20"/>
          <w:spacing w:val="-2"/>
        </w:rPr>
        <w:t> </w:t>
      </w:r>
      <w:r>
        <w:rPr>
          <w:color w:val="231F20"/>
        </w:rPr>
        <w:t>real</w:t>
      </w:r>
      <w:r>
        <w:rPr>
          <w:color w:val="231F20"/>
          <w:spacing w:val="-2"/>
        </w:rPr>
        <w:t> </w:t>
      </w:r>
      <w:r>
        <w:rPr>
          <w:color w:val="231F20"/>
        </w:rPr>
        <w:t>estate</w:t>
      </w:r>
      <w:r>
        <w:rPr>
          <w:color w:val="231F20"/>
          <w:spacing w:val="-2"/>
        </w:rPr>
        <w:t> transactions.</w:t>
      </w:r>
    </w:p>
    <w:p>
      <w:pPr>
        <w:pStyle w:val="BodyText"/>
        <w:spacing w:line="249" w:lineRule="auto" w:before="211"/>
        <w:ind w:left="459"/>
      </w:pPr>
      <w:r>
        <w:rPr>
          <w:color w:val="231F20"/>
        </w:rPr>
        <w:t>The disclosure form also defines and explains the terms the real estate industry commonly uses to </w:t>
      </w:r>
      <w:r>
        <w:rPr>
          <w:color w:val="231F20"/>
          <w:spacing w:val="-2"/>
        </w:rPr>
        <w:t>express: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49" w:lineRule="auto" w:before="93" w:after="0"/>
        <w:ind w:left="999" w:right="0" w:hanging="270"/>
        <w:jc w:val="both"/>
        <w:rPr>
          <w:sz w:val="22"/>
        </w:rPr>
      </w:pPr>
      <w:r>
        <w:rPr>
          <w:color w:val="231F20"/>
          <w:spacing w:val="-2"/>
          <w:sz w:val="22"/>
        </w:rPr>
        <w:t>the</w:t>
      </w:r>
      <w:r>
        <w:rPr>
          <w:color w:val="231F20"/>
          <w:spacing w:val="-10"/>
          <w:sz w:val="22"/>
        </w:rPr>
        <w:t> </w:t>
      </w:r>
      <w:r>
        <w:rPr>
          <w:i/>
          <w:color w:val="231F20"/>
          <w:spacing w:val="-2"/>
          <w:sz w:val="22"/>
        </w:rPr>
        <w:t>agency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pacing w:val="-2"/>
          <w:sz w:val="22"/>
        </w:rPr>
        <w:t>relationships</w:t>
      </w:r>
      <w:r>
        <w:rPr>
          <w:i/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of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brokers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to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the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various </w:t>
      </w:r>
      <w:r>
        <w:rPr>
          <w:color w:val="231F20"/>
          <w:sz w:val="22"/>
        </w:rPr>
        <w:t>parties in a real estate transaction (such as a seller or buyer);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</w:tabs>
        <w:spacing w:line="240" w:lineRule="auto" w:before="91" w:after="0"/>
        <w:ind w:left="997" w:right="0" w:hanging="268"/>
        <w:jc w:val="both"/>
        <w:rPr>
          <w:sz w:val="22"/>
        </w:rPr>
      </w:pPr>
      <w:r>
        <w:rPr>
          <w:i/>
          <w:color w:val="231F20"/>
          <w:sz w:val="22"/>
        </w:rPr>
        <w:t>broker-to-broker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relationships</w:t>
      </w:r>
      <w:r>
        <w:rPr>
          <w:color w:val="231F20"/>
          <w:sz w:val="22"/>
        </w:rPr>
        <w:t>;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999" w:val="left" w:leader="none"/>
        </w:tabs>
        <w:spacing w:line="249" w:lineRule="auto" w:before="100" w:after="0"/>
        <w:ind w:left="999" w:right="0" w:hanging="270"/>
        <w:jc w:val="both"/>
        <w:rPr>
          <w:sz w:val="22"/>
        </w:rPr>
      </w:pPr>
      <w:r>
        <w:rPr>
          <w:color w:val="231F20"/>
          <w:sz w:val="22"/>
        </w:rPr>
        <w:t>the </w:t>
      </w:r>
      <w:r>
        <w:rPr>
          <w:i/>
          <w:color w:val="231F20"/>
          <w:sz w:val="22"/>
        </w:rPr>
        <w:t>employment relationship </w:t>
      </w:r>
      <w:r>
        <w:rPr>
          <w:color w:val="231F20"/>
          <w:sz w:val="22"/>
        </w:rPr>
        <w:t>between brokers and their agents.</w:t>
      </w:r>
    </w:p>
    <w:p>
      <w:pPr>
        <w:pStyle w:val="BodyText"/>
        <w:spacing w:line="249" w:lineRule="auto" w:before="181"/>
        <w:ind w:left="459"/>
      </w:pPr>
      <w:r>
        <w:rPr>
          <w:color w:val="231F20"/>
        </w:rPr>
        <w:t>Brokers present the </w:t>
      </w:r>
      <w:r>
        <w:rPr>
          <w:b/>
          <w:color w:val="231F20"/>
        </w:rPr>
        <w:t>Agency Law Disclosure </w:t>
      </w:r>
      <w:r>
        <w:rPr>
          <w:color w:val="231F20"/>
        </w:rPr>
        <w:t>form</w:t>
      </w:r>
      <w:r>
        <w:rPr>
          <w:color w:val="231F20"/>
          <w:spacing w:val="80"/>
        </w:rPr>
        <w:t> </w:t>
      </w:r>
      <w:r>
        <w:rPr>
          <w:color w:val="231F20"/>
        </w:rPr>
        <w:t>to all parties for signing as soon as practicable (ASAP)</w:t>
      </w:r>
      <w:r>
        <w:rPr>
          <w:i/>
          <w:color w:val="231F20"/>
        </w:rPr>
        <w:t>. </w:t>
      </w:r>
      <w:r>
        <w:rPr>
          <w:color w:val="231F20"/>
        </w:rPr>
        <w:t>This means each broker is required to provide the disclosure to their client (buyer or seller) </w:t>
      </w:r>
      <w:r>
        <w:rPr>
          <w:i/>
          <w:color w:val="231F20"/>
        </w:rPr>
        <w:t>before </w:t>
      </w:r>
      <w:r>
        <w:rPr>
          <w:color w:val="231F20"/>
        </w:rPr>
        <w:t>entering into a listing agreement or preparing</w:t>
      </w:r>
      <w:r>
        <w:rPr>
          <w:color w:val="231F20"/>
          <w:spacing w:val="40"/>
        </w:rPr>
        <w:t> </w:t>
      </w:r>
      <w:r>
        <w:rPr>
          <w:color w:val="231F20"/>
        </w:rPr>
        <w:t>a purchase agreement offer.</w:t>
      </w:r>
      <w:r>
        <w:rPr>
          <w:color w:val="231F20"/>
          <w:spacing w:val="-4"/>
        </w:rPr>
        <w:t> </w:t>
      </w:r>
      <w:r>
        <w:rPr>
          <w:color w:val="231F20"/>
        </w:rPr>
        <w:t>Additionally, the buyer’s agent</w:t>
      </w:r>
      <w:r>
        <w:rPr>
          <w:color w:val="231F20"/>
          <w:spacing w:val="1"/>
        </w:rPr>
        <w:t> </w:t>
      </w:r>
      <w:r>
        <w:rPr>
          <w:color w:val="231F20"/>
        </w:rPr>
        <w:t>needs</w:t>
      </w:r>
      <w:r>
        <w:rPr>
          <w:color w:val="231F20"/>
          <w:spacing w:val="2"/>
        </w:rPr>
        <w:t> </w:t>
      </w:r>
      <w:r>
        <w:rPr>
          <w:color w:val="231F20"/>
        </w:rPr>
        <w:t>to provide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disclosure</w:t>
      </w:r>
      <w:r>
        <w:rPr>
          <w:color w:val="231F20"/>
          <w:spacing w:val="1"/>
        </w:rPr>
        <w:t> </w:t>
      </w:r>
      <w:r>
        <w:rPr>
          <w:color w:val="231F20"/>
        </w:rPr>
        <w:t>to the</w:t>
      </w:r>
      <w:r>
        <w:rPr>
          <w:color w:val="231F20"/>
          <w:spacing w:val="1"/>
        </w:rPr>
        <w:t> </w:t>
      </w:r>
      <w:r>
        <w:rPr>
          <w:color w:val="231F20"/>
        </w:rPr>
        <w:t>seller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(or</w:t>
      </w:r>
    </w:p>
    <w:p>
      <w:pPr>
        <w:pStyle w:val="BodyText"/>
        <w:spacing w:line="249" w:lineRule="auto" w:before="93"/>
        <w:ind w:left="319" w:right="457"/>
      </w:pPr>
      <w:r>
        <w:rPr/>
        <w:br w:type="column"/>
      </w:r>
      <w:r>
        <w:rPr>
          <w:color w:val="231F20"/>
        </w:rPr>
        <w:t>landlord)</w:t>
      </w:r>
      <w:r>
        <w:rPr>
          <w:color w:val="231F20"/>
          <w:spacing w:val="-15"/>
        </w:rPr>
        <w:t> </w:t>
      </w:r>
      <w:r>
        <w:rPr>
          <w:color w:val="231F20"/>
        </w:rPr>
        <w:t>as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signed</w:t>
      </w:r>
      <w:r>
        <w:rPr>
          <w:color w:val="231F20"/>
          <w:spacing w:val="-15"/>
        </w:rPr>
        <w:t> </w:t>
      </w:r>
      <w:r>
        <w:rPr>
          <w:color w:val="231F20"/>
        </w:rPr>
        <w:t>addendum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agreements</w:t>
      </w:r>
      <w:r>
        <w:rPr>
          <w:color w:val="231F20"/>
          <w:spacing w:val="-15"/>
        </w:rPr>
        <w:t> </w:t>
      </w:r>
      <w:r>
        <w:rPr>
          <w:color w:val="231F20"/>
        </w:rPr>
        <w:t>for</w:t>
      </w:r>
      <w:r>
        <w:rPr>
          <w:color w:val="231F20"/>
          <w:spacing w:val="-15"/>
        </w:rPr>
        <w:t> </w:t>
      </w:r>
      <w:r>
        <w:rPr>
          <w:color w:val="231F20"/>
        </w:rPr>
        <w:t>the buying or leasing for a term greater than one year of all types of real estate.</w:t>
      </w:r>
    </w:p>
    <w:p>
      <w:pPr>
        <w:pStyle w:val="BodyText"/>
        <w:spacing w:line="249" w:lineRule="auto" w:before="203"/>
        <w:ind w:left="319" w:right="456"/>
      </w:pPr>
      <w:r>
        <w:rPr>
          <w:color w:val="231F20"/>
        </w:rPr>
        <w:t>Failure of an agent to provide their client with the Agency Law Disclosure for the first time prior to entering into a listing agreement or preparing a purchase agreement violates California disclosure laws.</w:t>
      </w:r>
      <w:r>
        <w:rPr>
          <w:color w:val="231F20"/>
          <w:spacing w:val="-9"/>
        </w:rPr>
        <w:t> </w:t>
      </w:r>
      <w:r>
        <w:rPr>
          <w:color w:val="231F20"/>
        </w:rPr>
        <w:t>As a consequence, the broker will lose their fee on a sale, if challenged. The broker cannot avoid the loss of their fee by later attaching the disclosure as</w:t>
      </w:r>
      <w:r>
        <w:rPr>
          <w:color w:val="231F20"/>
          <w:spacing w:val="40"/>
        </w:rPr>
        <w:t> </w:t>
      </w:r>
      <w:r>
        <w:rPr>
          <w:color w:val="231F20"/>
        </w:rPr>
        <w:t>an addendum to a purchase agreement or escrow instructions signed by the seller.</w:t>
      </w:r>
    </w:p>
    <w:p>
      <w:pPr>
        <w:pStyle w:val="BodyText"/>
        <w:spacing w:line="249" w:lineRule="auto" w:before="208"/>
        <w:ind w:left="319" w:right="457"/>
      </w:pPr>
      <w:r>
        <w:rPr>
          <w:color w:val="231F20"/>
        </w:rPr>
        <w:t>In addition to the Agency Law Disclosure, brokers</w:t>
      </w:r>
      <w:r>
        <w:rPr>
          <w:color w:val="231F20"/>
          <w:spacing w:val="80"/>
        </w:rPr>
        <w:t> </w:t>
      </w:r>
      <w:r>
        <w:rPr>
          <w:color w:val="231F20"/>
        </w:rPr>
        <w:t>are also required to declare through an </w:t>
      </w:r>
      <w:r>
        <w:rPr>
          <w:b/>
          <w:color w:val="231F20"/>
        </w:rPr>
        <w:t>agency confirmation provision </w:t>
      </w:r>
      <w:r>
        <w:rPr>
          <w:color w:val="231F20"/>
        </w:rPr>
        <w:t>the agency </w:t>
      </w:r>
      <w:r>
        <w:rPr>
          <w:color w:val="231F20"/>
        </w:rPr>
        <w:t>relationships each broker determines they have with the principals in a transaction, whether acting as the sole agent of one principal or as a dual agent.</w:t>
      </w:r>
    </w:p>
    <w:p>
      <w:pPr>
        <w:pStyle w:val="BodyText"/>
        <w:spacing w:line="249" w:lineRule="auto" w:before="205"/>
        <w:ind w:left="319" w:right="458"/>
      </w:pPr>
      <w:r>
        <w:rPr>
          <w:color w:val="231F20"/>
        </w:rPr>
        <w:t>The agency confirmation provision is included in all documents used to negotiate real estate purchases (except five or more residential units, such as an apartment</w:t>
      </w:r>
      <w:r>
        <w:rPr>
          <w:color w:val="231F20"/>
          <w:spacing w:val="-13"/>
        </w:rPr>
        <w:t> </w:t>
      </w:r>
      <w:r>
        <w:rPr>
          <w:color w:val="231F20"/>
        </w:rPr>
        <w:t>complex)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leases</w:t>
      </w:r>
      <w:r>
        <w:rPr>
          <w:color w:val="231F20"/>
          <w:spacing w:val="-13"/>
        </w:rPr>
        <w:t> </w:t>
      </w:r>
      <w:r>
        <w:rPr>
          <w:color w:val="231F20"/>
        </w:rPr>
        <w:t>with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term</w:t>
      </w:r>
      <w:r>
        <w:rPr>
          <w:color w:val="231F20"/>
          <w:spacing w:val="-13"/>
        </w:rPr>
        <w:t> </w:t>
      </w:r>
      <w:r>
        <w:rPr>
          <w:color w:val="231F20"/>
        </w:rPr>
        <w:t>exceeding one year. The principals consent by signing the document containing the provision.</w:t>
      </w:r>
    </w:p>
    <w:p>
      <w:pPr>
        <w:spacing w:after="0" w:line="249" w:lineRule="auto"/>
        <w:sectPr>
          <w:type w:val="continuous"/>
          <w:pgSz w:w="12240" w:h="15840"/>
          <w:pgMar w:top="380" w:bottom="0" w:left="260" w:right="260"/>
          <w:cols w:num="2" w:equalWidth="0">
            <w:col w:w="5681" w:space="40"/>
            <w:col w:w="5999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69"/>
        <w:jc w:val="left"/>
        <w:rPr>
          <w:sz w:val="20"/>
        </w:rPr>
      </w:pPr>
    </w:p>
    <w:p>
      <w:pPr>
        <w:spacing w:line="266" w:lineRule="auto" w:before="0"/>
        <w:ind w:left="475" w:right="9364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6038338</wp:posOffset>
            </wp:positionH>
            <wp:positionV relativeFrom="paragraph">
              <wp:posOffset>212259</wp:posOffset>
            </wp:positionV>
            <wp:extent cx="796890" cy="91929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890" cy="919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Christy Dumlao Real Estate Broker </w:t>
      </w:r>
      <w:r>
        <w:rPr>
          <w:sz w:val="20"/>
        </w:rPr>
        <w:t>DRE</w:t>
      </w:r>
      <w:r>
        <w:rPr>
          <w:spacing w:val="-14"/>
          <w:sz w:val="20"/>
        </w:rPr>
        <w:t> </w:t>
      </w:r>
      <w:r>
        <w:rPr>
          <w:sz w:val="20"/>
        </w:rPr>
        <w:t>LIC#</w:t>
      </w:r>
      <w:r>
        <w:rPr>
          <w:spacing w:val="-14"/>
          <w:sz w:val="20"/>
        </w:rPr>
        <w:t> </w:t>
      </w:r>
      <w:r>
        <w:rPr>
          <w:sz w:val="20"/>
        </w:rPr>
        <w:t>01474985</w:t>
      </w:r>
    </w:p>
    <w:p>
      <w:pPr>
        <w:spacing w:line="214" w:lineRule="exact" w:before="0"/>
        <w:ind w:left="475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475" w:right="6383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4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</wp:posOffset>
                </wp:positionH>
                <wp:positionV relativeFrom="paragraph">
                  <wp:posOffset>214617</wp:posOffset>
                </wp:positionV>
                <wp:extent cx="7315200" cy="2286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315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2286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7315200" y="228600"/>
                              </a:lnTo>
                              <a:lnTo>
                                <a:pt x="7315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pt;margin-top:16.899023pt;width:576pt;height:18pt;mso-position-horizontal-relative:page;mso-position-vertical-relative:paragraph;z-index:-15728128;mso-wrap-distance-left:0;mso-wrap-distance-right:0" id="docshape5" filled="true" fillcolor="#d2232a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2240" w:h="15840"/>
      <w:pgMar w:top="38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2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8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4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8" w:lineRule="exact"/>
    </w:pPr>
    <w:rPr>
      <w:rFonts w:ascii="Arial" w:hAnsi="Arial" w:eastAsia="Arial" w:cs="Arial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999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2024-09-09T00:43:35Z</dcterms:created>
  <dcterms:modified xsi:type="dcterms:W3CDTF">2024-09-09T00:43:35Z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