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365500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365500"/>
                          <a:chExt cx="7315200" cy="33655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364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2377439"/>
                            <a:ext cx="7315200" cy="65849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42"/>
                                <w:ind w:left="610" w:right="0" w:firstLine="0"/>
                                <w:jc w:val="left"/>
                                <w:rPr>
                                  <w:rFonts w:ascii="Georgia" w:hAnsi="Georgia"/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How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"/>
                                  <w:w w:val="9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do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determine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how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much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home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w w:val="90"/>
                                  <w:sz w:val="44"/>
                                </w:rPr>
                                <w:t>can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1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2"/>
                                  <w:w w:val="90"/>
                                  <w:sz w:val="44"/>
                                </w:rPr>
                                <w:t>a</w:t>
                              </w:r>
                              <w:r>
                                <w:rPr>
                                  <w:rFonts w:ascii="Helvetica Neue" w:hAnsi="Helvetica Neue"/>
                                  <w:b/>
                                  <w:color w:val="FFFFFF"/>
                                  <w:spacing w:val="-2"/>
                                  <w:w w:val="90"/>
                                  <w:sz w:val="44"/>
                                </w:rPr>
                                <w:t>ﬀ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2"/>
                                  <w:w w:val="90"/>
                                  <w:sz w:val="44"/>
                                </w:rPr>
                                <w:t>ord?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65pt;mso-position-horizontal-relative:char;mso-position-vertical-relative:line" id="docshapegroup1" coordorigin="0,0" coordsize="11520,5300">
                <v:shape style="position:absolute;left:0;top:0;width:11520;height:530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744;width:11520;height:1037" type="#_x0000_t202" id="docshape3" filled="true" fillcolor="#d2232a" stroked="false">
                  <v:textbox inset="0,0,0,0">
                    <w:txbxContent>
                      <w:p>
                        <w:pPr>
                          <w:spacing w:before="242"/>
                          <w:ind w:left="610" w:right="0" w:firstLine="0"/>
                          <w:jc w:val="left"/>
                          <w:rPr>
                            <w:rFonts w:ascii="Georgia" w:hAnsi="Georgia"/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How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"/>
                            <w:w w:val="90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do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I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determine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how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much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home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I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w w:val="90"/>
                            <w:sz w:val="44"/>
                          </w:rPr>
                          <w:t>can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11"/>
                            <w:sz w:val="4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2"/>
                            <w:w w:val="90"/>
                            <w:sz w:val="44"/>
                          </w:rPr>
                          <w:t>a</w:t>
                        </w:r>
                        <w:r>
                          <w:rPr>
                            <w:rFonts w:ascii="Helvetica Neue" w:hAnsi="Helvetica Neue"/>
                            <w:b/>
                            <w:color w:val="FFFFFF"/>
                            <w:spacing w:val="-2"/>
                            <w:w w:val="90"/>
                            <w:sz w:val="44"/>
                          </w:rPr>
                          <w:t>ﬀ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pacing w:val="-2"/>
                            <w:w w:val="90"/>
                            <w:sz w:val="44"/>
                          </w:rPr>
                          <w:t>ord?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33"/>
        <w:jc w:val="left"/>
        <w:rPr>
          <w:rFonts w:ascii="Times New Roman"/>
          <w:sz w:val="20"/>
        </w:rPr>
      </w:pP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0"/>
        </w:sectPr>
      </w:pPr>
    </w:p>
    <w:p>
      <w:pPr>
        <w:pStyle w:val="BodyText"/>
        <w:spacing w:before="93"/>
        <w:ind w:left="1224" w:right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457200</wp:posOffset>
                </wp:positionH>
                <wp:positionV relativeFrom="paragraph">
                  <wp:posOffset>20996</wp:posOffset>
                </wp:positionV>
                <wp:extent cx="384810" cy="40703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653276pt;width:30.3pt;height:32.0500pt;mso-position-horizontal-relative:page;mso-position-vertical-relative:paragraph;z-index:-15761920" type="#_x0000_t202" id="docshape4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The initial step taken by your agent when representing</w:t>
      </w:r>
      <w:r>
        <w:rPr>
          <w:color w:val="231F20"/>
          <w:spacing w:val="22"/>
        </w:rPr>
        <w:t> </w:t>
      </w:r>
      <w:r>
        <w:rPr>
          <w:color w:val="231F20"/>
        </w:rPr>
        <w:t>you</w:t>
      </w:r>
      <w:r>
        <w:rPr>
          <w:color w:val="231F20"/>
          <w:spacing w:val="22"/>
        </w:rPr>
        <w:t> </w:t>
      </w:r>
      <w:r>
        <w:rPr>
          <w:color w:val="231F20"/>
        </w:rPr>
        <w:t>in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search</w:t>
      </w:r>
      <w:r>
        <w:rPr>
          <w:color w:val="231F20"/>
          <w:spacing w:val="22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suitable</w:t>
      </w:r>
    </w:p>
    <w:p>
      <w:pPr>
        <w:pStyle w:val="BodyText"/>
        <w:ind w:left="459" w:right="1"/>
      </w:pPr>
      <w:r>
        <w:rPr>
          <w:color w:val="231F20"/>
        </w:rPr>
        <w:t>home is to </w:t>
      </w:r>
      <w:r>
        <w:rPr>
          <w:b/>
          <w:color w:val="231F20"/>
        </w:rPr>
        <w:t>financially qualify </w:t>
      </w:r>
      <w:r>
        <w:rPr>
          <w:color w:val="231F20"/>
        </w:rPr>
        <w:t>you for both the price you can pay and the mortgage amount you can borrow. Your gross income and your savings set the parameters for both.</w:t>
      </w:r>
    </w:p>
    <w:p>
      <w:pPr>
        <w:pStyle w:val="BodyText"/>
        <w:spacing w:before="97"/>
        <w:ind w:left="459"/>
      </w:pPr>
      <w:r>
        <w:rPr>
          <w:color w:val="231F20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rule-of-thumb,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price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type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mortgage</w:t>
      </w:r>
      <w:r>
        <w:rPr>
          <w:color w:val="231F20"/>
          <w:spacing w:val="-15"/>
        </w:rPr>
        <w:t> </w:t>
      </w:r>
      <w:r>
        <w:rPr>
          <w:color w:val="231F20"/>
        </w:rPr>
        <w:t>you qualify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buyer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estimated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applying</w:t>
      </w:r>
      <w:r>
        <w:rPr>
          <w:color w:val="231F20"/>
          <w:spacing w:val="-12"/>
        </w:rPr>
        <w:t> </w:t>
      </w:r>
      <w:r>
        <w:rPr>
          <w:color w:val="231F20"/>
        </w:rPr>
        <w:t>ratios</w:t>
      </w:r>
      <w:r>
        <w:rPr>
          <w:color w:val="231F20"/>
          <w:spacing w:val="-12"/>
        </w:rPr>
        <w:t> </w:t>
      </w:r>
      <w:r>
        <w:rPr>
          <w:color w:val="231F20"/>
        </w:rPr>
        <w:t>to your</w:t>
      </w:r>
      <w:r>
        <w:rPr>
          <w:color w:val="231F20"/>
          <w:spacing w:val="-10"/>
        </w:rPr>
        <w:t> </w:t>
      </w:r>
      <w:r>
        <w:rPr>
          <w:color w:val="231F20"/>
        </w:rPr>
        <w:t>pre-tax</w:t>
      </w:r>
      <w:r>
        <w:rPr>
          <w:color w:val="231F20"/>
          <w:spacing w:val="-10"/>
        </w:rPr>
        <w:t> </w:t>
      </w:r>
      <w:r>
        <w:rPr>
          <w:color w:val="231F20"/>
        </w:rPr>
        <w:t>gross</w:t>
      </w:r>
      <w:r>
        <w:rPr>
          <w:color w:val="231F20"/>
          <w:spacing w:val="-10"/>
        </w:rPr>
        <w:t> </w:t>
      </w:r>
      <w:r>
        <w:rPr>
          <w:color w:val="231F20"/>
        </w:rPr>
        <w:t>income.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example,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ratio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five times your gross income indicates roughly the price</w:t>
      </w:r>
      <w:r>
        <w:rPr>
          <w:color w:val="231F20"/>
          <w:spacing w:val="40"/>
        </w:rPr>
        <w:t> </w:t>
      </w:r>
      <w:r>
        <w:rPr>
          <w:color w:val="231F20"/>
        </w:rPr>
        <w:t>of the home you qualify to buy when you have a 20% down payment.</w:t>
      </w:r>
    </w:p>
    <w:p>
      <w:pPr>
        <w:pStyle w:val="BodyText"/>
        <w:spacing w:before="97"/>
        <w:ind w:left="459"/>
      </w:pPr>
      <w:r>
        <w:rPr>
          <w:color w:val="231F20"/>
        </w:rPr>
        <w:t>Next, your agent needs to know the amount of cash </w:t>
      </w:r>
      <w:r>
        <w:rPr>
          <w:color w:val="231F20"/>
          <w:spacing w:val="-2"/>
        </w:rPr>
        <w:t>you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able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bring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together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available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sources </w:t>
      </w:r>
      <w:r>
        <w:rPr>
          <w:color w:val="231F20"/>
        </w:rPr>
        <w:t>to fund the purchase of a property.</w:t>
      </w:r>
      <w:r>
        <w:rPr>
          <w:color w:val="231F20"/>
          <w:spacing w:val="-4"/>
        </w:rPr>
        <w:t> </w:t>
      </w:r>
      <w:r>
        <w:rPr>
          <w:color w:val="231F20"/>
        </w:rPr>
        <w:t>To determine how much cash you have for a </w:t>
      </w:r>
      <w:r>
        <w:rPr>
          <w:b/>
          <w:color w:val="231F20"/>
        </w:rPr>
        <w:t>down payment </w:t>
      </w:r>
      <w:r>
        <w:rPr>
          <w:color w:val="231F20"/>
        </w:rPr>
        <w:t>on the price and payment of </w:t>
      </w:r>
      <w:r>
        <w:rPr>
          <w:b/>
          <w:color w:val="231F20"/>
        </w:rPr>
        <w:t>acquisition costs</w:t>
      </w:r>
      <w:r>
        <w:rPr>
          <w:color w:val="231F20"/>
        </w:rPr>
        <w:t>, your agent prepares a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buyer’s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cost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sheet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amount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funds you</w:t>
      </w:r>
      <w:r>
        <w:rPr>
          <w:color w:val="231F20"/>
          <w:spacing w:val="-16"/>
        </w:rPr>
        <w:t> </w:t>
      </w:r>
      <w:r>
        <w:rPr>
          <w:color w:val="231F20"/>
        </w:rPr>
        <w:t>have</w:t>
      </w:r>
      <w:r>
        <w:rPr>
          <w:color w:val="231F20"/>
          <w:spacing w:val="-15"/>
        </w:rPr>
        <w:t> </w:t>
      </w:r>
      <w:r>
        <w:rPr>
          <w:color w:val="231F20"/>
        </w:rPr>
        <w:t>available</w:t>
      </w:r>
      <w:r>
        <w:rPr>
          <w:color w:val="231F20"/>
          <w:spacing w:val="-15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down</w:t>
      </w:r>
      <w:r>
        <w:rPr>
          <w:color w:val="231F20"/>
          <w:spacing w:val="-15"/>
        </w:rPr>
        <w:t> </w:t>
      </w:r>
      <w:r>
        <w:rPr>
          <w:color w:val="231F20"/>
        </w:rPr>
        <w:t>payment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6"/>
        </w:rPr>
        <w:t> </w:t>
      </w:r>
      <w:r>
        <w:rPr>
          <w:color w:val="231F20"/>
        </w:rPr>
        <w:t>fundamental to the amount of mortgage available to you.</w:t>
      </w:r>
    </w:p>
    <w:p>
      <w:pPr>
        <w:pStyle w:val="BodyText"/>
        <w:spacing w:before="98"/>
        <w:ind w:left="459"/>
      </w:pPr>
      <w:r>
        <w:rPr>
          <w:color w:val="231F20"/>
        </w:rPr>
        <w:t>Together, your cash down payment and the amount of</w:t>
      </w:r>
      <w:r>
        <w:rPr>
          <w:color w:val="231F20"/>
          <w:spacing w:val="-1"/>
        </w:rPr>
        <w:t> </w:t>
      </w:r>
      <w:r>
        <w:rPr>
          <w:color w:val="231F20"/>
        </w:rPr>
        <w:t>mortgage</w:t>
      </w:r>
      <w:r>
        <w:rPr>
          <w:color w:val="231F20"/>
          <w:spacing w:val="-1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qualify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borrow</w:t>
      </w:r>
      <w:r>
        <w:rPr>
          <w:color w:val="231F20"/>
          <w:spacing w:val="-1"/>
        </w:rPr>
        <w:t> </w:t>
      </w:r>
      <w:r>
        <w:rPr>
          <w:color w:val="231F20"/>
        </w:rPr>
        <w:t>sets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maximum price </w:t>
      </w:r>
      <w:r>
        <w:rPr>
          <w:color w:val="231F20"/>
        </w:rPr>
        <w:t>you can pay for a home.</w:t>
      </w:r>
    </w:p>
    <w:p>
      <w:pPr>
        <w:pStyle w:val="BodyText"/>
        <w:spacing w:before="93"/>
        <w:ind w:left="319" w:right="717"/>
      </w:pPr>
      <w:r>
        <w:rPr/>
        <w:br w:type="column"/>
      </w:r>
      <w:r>
        <w:rPr>
          <w:color w:val="231F20"/>
        </w:rPr>
        <w:t>Your agent calculates the amount of mortgage available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you</w:t>
      </w:r>
      <w:r>
        <w:rPr>
          <w:color w:val="231F20"/>
          <w:spacing w:val="-15"/>
        </w:rPr>
        <w:t> </w:t>
      </w:r>
      <w:r>
        <w:rPr>
          <w:color w:val="231F20"/>
        </w:rPr>
        <w:t>based</w:t>
      </w:r>
      <w:r>
        <w:rPr>
          <w:color w:val="231F20"/>
          <w:spacing w:val="-16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current</w:t>
      </w:r>
      <w:r>
        <w:rPr>
          <w:color w:val="231F20"/>
          <w:spacing w:val="-15"/>
        </w:rPr>
        <w:t> </w:t>
      </w:r>
      <w:r>
        <w:rPr>
          <w:color w:val="231F20"/>
        </w:rPr>
        <w:t>fixed</w:t>
      </w:r>
      <w:r>
        <w:rPr>
          <w:color w:val="231F20"/>
          <w:spacing w:val="-15"/>
        </w:rPr>
        <w:t> </w:t>
      </w:r>
      <w:r>
        <w:rPr>
          <w:color w:val="231F20"/>
        </w:rPr>
        <w:t>mortgage</w:t>
      </w:r>
      <w:r>
        <w:rPr>
          <w:color w:val="231F20"/>
          <w:spacing w:val="-16"/>
        </w:rPr>
        <w:t> </w:t>
      </w:r>
      <w:r>
        <w:rPr>
          <w:color w:val="231F20"/>
        </w:rPr>
        <w:t>rates and any mortgage insurance rate you will be charged (around</w:t>
      </w:r>
      <w:r>
        <w:rPr>
          <w:color w:val="231F20"/>
          <w:spacing w:val="-15"/>
        </w:rPr>
        <w:t> </w:t>
      </w:r>
      <w:r>
        <w:rPr>
          <w:color w:val="231F20"/>
        </w:rPr>
        <w:t>one</w:t>
      </w:r>
      <w:r>
        <w:rPr>
          <w:color w:val="231F20"/>
          <w:spacing w:val="-15"/>
        </w:rPr>
        <w:t> </w:t>
      </w:r>
      <w:r>
        <w:rPr>
          <w:color w:val="231F20"/>
        </w:rPr>
        <w:t>percent)</w:t>
      </w:r>
      <w:r>
        <w:rPr>
          <w:color w:val="231F20"/>
          <w:spacing w:val="-15"/>
        </w:rPr>
        <w:t> </w:t>
      </w:r>
      <w:r>
        <w:rPr>
          <w:color w:val="231F20"/>
        </w:rPr>
        <w:t>when</w:t>
      </w:r>
      <w:r>
        <w:rPr>
          <w:color w:val="231F20"/>
          <w:spacing w:val="-15"/>
        </w:rPr>
        <w:t> </w:t>
      </w:r>
      <w:r>
        <w:rPr>
          <w:color w:val="231F20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</w:rPr>
        <w:t>down</w:t>
      </w:r>
      <w:r>
        <w:rPr>
          <w:color w:val="231F20"/>
          <w:spacing w:val="-15"/>
        </w:rPr>
        <w:t> </w:t>
      </w:r>
      <w:r>
        <w:rPr>
          <w:color w:val="231F20"/>
        </w:rPr>
        <w:t>payment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less than</w:t>
      </w:r>
      <w:r>
        <w:rPr>
          <w:color w:val="231F20"/>
          <w:spacing w:val="-16"/>
        </w:rPr>
        <w:t> </w:t>
      </w:r>
      <w:r>
        <w:rPr>
          <w:color w:val="231F20"/>
        </w:rPr>
        <w:t>20%.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dollar</w:t>
      </w:r>
      <w:r>
        <w:rPr>
          <w:color w:val="231F20"/>
          <w:spacing w:val="-16"/>
        </w:rPr>
        <w:t> </w:t>
      </w:r>
      <w:r>
        <w:rPr>
          <w:color w:val="231F20"/>
        </w:rPr>
        <w:t>figure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31%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monthly</w:t>
      </w:r>
      <w:r>
        <w:rPr>
          <w:color w:val="231F20"/>
          <w:spacing w:val="-12"/>
        </w:rPr>
        <w:t> </w:t>
      </w:r>
      <w:r>
        <w:rPr>
          <w:color w:val="231F20"/>
        </w:rPr>
        <w:t>gross income is used to determine the maximum mortgage payment you qualify to make.</w:t>
      </w:r>
    </w:p>
    <w:p>
      <w:pPr>
        <w:pStyle w:val="BodyText"/>
        <w:spacing w:before="97"/>
        <w:ind w:left="319" w:right="717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agent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good-faith estimate which identifies and itemizes the acquisition and financing costs you will likely incur, as well as your source of funds for a down payment. Further,</w:t>
      </w:r>
      <w:r>
        <w:rPr>
          <w:color w:val="231F20"/>
          <w:spacing w:val="40"/>
        </w:rPr>
        <w:t> </w:t>
      </w:r>
      <w:r>
        <w:rPr>
          <w:color w:val="231F20"/>
        </w:rPr>
        <w:t>the estimate lists your estimated monthly principal, interest, tax and insurance (PITI) amount which together comprise your mortgage payment.</w:t>
      </w:r>
    </w:p>
    <w:p>
      <w:pPr>
        <w:pStyle w:val="BodyText"/>
        <w:spacing w:before="98"/>
        <w:ind w:left="319" w:right="717"/>
      </w:pP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beyond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initial</w:t>
      </w:r>
      <w:r>
        <w:rPr>
          <w:color w:val="231F20"/>
          <w:spacing w:val="-4"/>
        </w:rPr>
        <w:t> </w:t>
      </w:r>
      <w:r>
        <w:rPr>
          <w:color w:val="231F20"/>
        </w:rPr>
        <w:t>pre-qualifying</w:t>
      </w:r>
      <w:r>
        <w:rPr>
          <w:color w:val="231F20"/>
          <w:spacing w:val="-4"/>
        </w:rPr>
        <w:t> </w:t>
      </w:r>
      <w:r>
        <w:rPr>
          <w:color w:val="231F20"/>
        </w:rPr>
        <w:t>stage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cost sheet</w:t>
      </w:r>
      <w:r>
        <w:rPr>
          <w:color w:val="231F20"/>
          <w:spacing w:val="-16"/>
        </w:rPr>
        <w:t> </w:t>
      </w:r>
      <w:r>
        <w:rPr>
          <w:color w:val="231F20"/>
        </w:rPr>
        <w:t>review,</w:t>
      </w:r>
      <w:r>
        <w:rPr>
          <w:color w:val="231F20"/>
          <w:spacing w:val="-15"/>
        </w:rPr>
        <w:t> </w:t>
      </w:r>
      <w:r>
        <w:rPr>
          <w:color w:val="231F20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</w:rPr>
        <w:t>agent</w:t>
      </w:r>
      <w:r>
        <w:rPr>
          <w:color w:val="231F20"/>
          <w:spacing w:val="-16"/>
        </w:rPr>
        <w:t> </w:t>
      </w:r>
      <w:r>
        <w:rPr>
          <w:color w:val="231F20"/>
        </w:rPr>
        <w:t>will</w:t>
      </w:r>
      <w:r>
        <w:rPr>
          <w:color w:val="231F20"/>
          <w:spacing w:val="-15"/>
        </w:rPr>
        <w:t> </w:t>
      </w:r>
      <w:r>
        <w:rPr>
          <w:color w:val="231F20"/>
        </w:rPr>
        <w:t>arrange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consultation</w:t>
      </w:r>
      <w:r>
        <w:rPr>
          <w:color w:val="231F20"/>
          <w:spacing w:val="-16"/>
        </w:rPr>
        <w:t> </w:t>
      </w:r>
      <w:r>
        <w:rPr>
          <w:color w:val="231F20"/>
        </w:rPr>
        <w:t>for you</w:t>
      </w:r>
      <w:r>
        <w:rPr>
          <w:color w:val="231F20"/>
          <w:spacing w:val="-16"/>
        </w:rPr>
        <w:t> </w:t>
      </w:r>
      <w:r>
        <w:rPr>
          <w:color w:val="231F20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lender’s</w:t>
      </w:r>
      <w:r>
        <w:rPr>
          <w:color w:val="231F20"/>
          <w:spacing w:val="-16"/>
        </w:rPr>
        <w:t> </w:t>
      </w:r>
      <w:r>
        <w:rPr>
          <w:color w:val="231F20"/>
        </w:rPr>
        <w:t>representative.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objective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the consultation is to clarify the maximum dollar amount of purchase-assist financing lenders will pre-approve with your income, credit score and down payment.</w:t>
      </w:r>
    </w:p>
    <w:p>
      <w:pPr>
        <w:spacing w:after="0"/>
        <w:sectPr>
          <w:type w:val="continuous"/>
          <w:pgSz w:w="12240" w:h="15840"/>
          <w:pgMar w:top="380" w:bottom="0" w:left="260" w:right="0"/>
          <w:cols w:num="2" w:equalWidth="0">
            <w:col w:w="5681" w:space="40"/>
            <w:col w:w="6259"/>
          </w:cols>
        </w:sectPr>
      </w:pPr>
    </w:p>
    <w:p>
      <w:pPr>
        <w:pStyle w:val="BodyText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228600</wp:posOffset>
                </wp:positionH>
                <wp:positionV relativeFrom="page">
                  <wp:posOffset>8487326</wp:posOffset>
                </wp:positionV>
                <wp:extent cx="7543800" cy="15716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543800" cy="1571625"/>
                          <a:chExt cx="7543800" cy="15716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28173"/>
                            <a:ext cx="7315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2860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7315200" y="22860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514" y="0"/>
                            <a:ext cx="2548285" cy="1571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43800" cy="1571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1036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Estate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Broker</w:t>
                              </w:r>
                            </w:p>
                            <w:p>
                              <w:pPr>
                                <w:spacing w:before="82"/>
                                <w:ind w:left="10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LIC#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01474985</w:t>
                              </w:r>
                            </w:p>
                            <w:p>
                              <w:pPr>
                                <w:spacing w:before="37"/>
                                <w:ind w:left="10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925-395-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0175</w:t>
                              </w:r>
                            </w:p>
                            <w:p>
                              <w:pPr>
                                <w:spacing w:line="278" w:lineRule="auto" w:before="36"/>
                                <w:ind w:left="1038" w:right="598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christy@christyscarealty.com</w:t>
                                </w:r>
                              </w:hyperlink>
                              <w:r>
                                <w:rPr>
                                  <w:spacing w:val="-2"/>
                                  <w:sz w:val="20"/>
                                </w:rPr>
                                <w:t> christyscaliforniarealty.com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68.293396pt;width:594pt;height:123.75pt;mso-position-horizontal-relative:page;mso-position-vertical-relative:page;z-index:15729152" id="docshapegroup5" coordorigin="360,13366" coordsize="11880,2475">
                <v:rect style="position:absolute;left:360;top:15300;width:11520;height:360" id="docshape6" filled="true" fillcolor="#d2232a" stroked="false">
                  <v:fill type="solid"/>
                </v:rect>
                <v:shape style="position:absolute;left:8226;top:13365;width:4014;height:2475" type="#_x0000_t75" id="docshape7" stroked="false">
                  <v:imagedata r:id="rId6" o:title=""/>
                </v:shape>
                <v:shape style="position:absolute;left:360;top:13365;width:11880;height:2475" type="#_x0000_t202" id="docshape8" filled="false" stroked="false">
                  <v:textbox inset="0,0,0,0">
                    <w:txbxContent>
                      <w:p>
                        <w:pPr>
                          <w:spacing w:before="54"/>
                          <w:ind w:left="1036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Estate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Broker</w:t>
                        </w:r>
                      </w:p>
                      <w:p>
                        <w:pPr>
                          <w:spacing w:before="82"/>
                          <w:ind w:left="10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LIC#</w:t>
                        </w:r>
                        <w:r>
                          <w:rPr>
                            <w:spacing w:val="-2"/>
                            <w:sz w:val="20"/>
                          </w:rPr>
                          <w:t> 01474985</w:t>
                        </w:r>
                      </w:p>
                      <w:p>
                        <w:pPr>
                          <w:spacing w:before="37"/>
                          <w:ind w:left="10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925-395-</w:t>
                        </w:r>
                        <w:r>
                          <w:rPr>
                            <w:spacing w:val="-4"/>
                            <w:sz w:val="20"/>
                          </w:rPr>
                          <w:t>0175</w:t>
                        </w:r>
                      </w:p>
                      <w:p>
                        <w:pPr>
                          <w:spacing w:line="278" w:lineRule="auto" w:before="36"/>
                          <w:ind w:left="1038" w:right="5980" w:firstLine="0"/>
                          <w:jc w:val="left"/>
                          <w:rPr>
                            <w:sz w:val="20"/>
                          </w:rPr>
                        </w:pPr>
                        <w:hyperlink r:id="rId7">
                          <w:r>
                            <w:rPr>
                              <w:spacing w:val="-2"/>
                              <w:sz w:val="20"/>
                            </w:rPr>
                            <w:t>christy@christyscarealty.com</w:t>
                          </w:r>
                        </w:hyperlink>
                        <w:r>
                          <w:rPr>
                            <w:spacing w:val="-2"/>
                            <w:sz w:val="20"/>
                          </w:rPr>
                          <w:t> christyscaliforniarealty.com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96"/>
        <w:jc w:val="left"/>
        <w:rPr>
          <w:sz w:val="20"/>
        </w:rPr>
      </w:pPr>
    </w:p>
    <w:p>
      <w:pPr>
        <w:spacing w:before="1"/>
        <w:ind w:left="1136" w:right="0" w:firstLine="0"/>
        <w:jc w:val="left"/>
        <w:rPr>
          <w:b/>
          <w:sz w:val="20"/>
        </w:rPr>
      </w:pPr>
      <w:r>
        <w:rPr>
          <w:b/>
          <w:sz w:val="20"/>
        </w:rPr>
        <w:t>Christy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Dumlao</w:t>
      </w:r>
    </w:p>
    <w:sectPr>
      <w:type w:val="continuous"/>
      <w:pgSz w:w="12240" w:h="15840"/>
      <w:pgMar w:top="380" w:bottom="0" w:left="2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hristy@christyscarealty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2024-09-08T22:56:02Z</dcterms:created>
  <dcterms:modified xsi:type="dcterms:W3CDTF">2024-09-08T22:56:02Z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14.5 (Build 23F79) Quartz PDFContext</vt:lpwstr>
  </property>
</Properties>
</file>