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38327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383279"/>
                          <a:chExt cx="7315200" cy="338327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383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100266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55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6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60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0"/>
                                  <w:w w:val="11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60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9"/>
                                  <w:w w:val="110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60"/>
                                </w:rPr>
                                <w:t>arbitration?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66.4pt;mso-position-horizontal-relative:char;mso-position-vertical-relative:line" id="docshapegroup1" coordorigin="0,0" coordsize="11520,5328">
                <v:shape style="position:absolute;left:0;top:0;width:11520;height:532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579" type="#_x0000_t202" id="docshape3" filled="true" fillcolor="#d2232a" stroked="false">
                  <v:textbox inset="0,0,0,0">
                    <w:txbxContent>
                      <w:p>
                        <w:pPr>
                          <w:spacing w:before="455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6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60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0"/>
                            <w:w w:val="110"/>
                            <w:sz w:val="6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60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9"/>
                            <w:w w:val="110"/>
                            <w:sz w:val="6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60"/>
                          </w:rPr>
                          <w:t>arbitration?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9" w:lineRule="auto" w:before="94"/>
        <w:ind w:left="12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457200</wp:posOffset>
                </wp:positionH>
                <wp:positionV relativeFrom="paragraph">
                  <wp:posOffset>19782</wp:posOffset>
                </wp:positionV>
                <wp:extent cx="394970" cy="4178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57665pt;width:31.1pt;height:32.9pt;mso-position-horizontal-relative:page;mso-position-vertical-relative:paragraph;z-index:-15762944" type="#_x0000_t202" id="docshape4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</w:rPr>
        <w:t>Arbitration </w:t>
      </w:r>
      <w:r>
        <w:rPr>
          <w:color w:val="231F20"/>
        </w:rPr>
        <w:t>is one form of dispute resolution in</w:t>
      </w:r>
      <w:r>
        <w:rPr>
          <w:color w:val="231F20"/>
          <w:spacing w:val="73"/>
          <w:w w:val="150"/>
        </w:rPr>
        <w:t> </w:t>
      </w:r>
      <w:r>
        <w:rPr>
          <w:color w:val="231F20"/>
        </w:rPr>
        <w:t>real</w:t>
      </w:r>
      <w:r>
        <w:rPr>
          <w:color w:val="231F20"/>
          <w:spacing w:val="74"/>
          <w:w w:val="150"/>
        </w:rPr>
        <w:t> </w:t>
      </w:r>
      <w:r>
        <w:rPr>
          <w:color w:val="231F20"/>
        </w:rPr>
        <w:t>estate</w:t>
      </w:r>
      <w:r>
        <w:rPr>
          <w:color w:val="231F20"/>
          <w:spacing w:val="73"/>
          <w:w w:val="150"/>
        </w:rPr>
        <w:t> </w:t>
      </w:r>
      <w:r>
        <w:rPr>
          <w:color w:val="231F20"/>
        </w:rPr>
        <w:t>transactions.</w:t>
      </w:r>
      <w:r>
        <w:rPr>
          <w:color w:val="231F20"/>
          <w:spacing w:val="74"/>
          <w:w w:val="150"/>
        </w:rPr>
        <w:t> </w:t>
      </w:r>
      <w:r>
        <w:rPr>
          <w:color w:val="231F20"/>
        </w:rPr>
        <w:t>Persons</w:t>
      </w:r>
      <w:r>
        <w:rPr>
          <w:color w:val="231F20"/>
          <w:spacing w:val="74"/>
          <w:w w:val="150"/>
        </w:rPr>
        <w:t> </w:t>
      </w:r>
      <w:r>
        <w:rPr>
          <w:color w:val="231F20"/>
          <w:spacing w:val="-5"/>
        </w:rPr>
        <w:t>who</w:t>
      </w:r>
    </w:p>
    <w:p>
      <w:pPr>
        <w:pStyle w:val="BodyText"/>
        <w:spacing w:line="249" w:lineRule="auto" w:before="1"/>
        <w:ind w:left="459"/>
        <w:jc w:val="both"/>
      </w:pPr>
      <w:r>
        <w:rPr>
          <w:color w:val="231F20"/>
        </w:rPr>
        <w:t>are parties to an agreement may grant an arbitrator the authority to hear their dispute and resolve it for them instead of initiating a lawsuit in a court of law. On conclusion of the hearing, the arbitrator issues a binding award in favor of one of the parties.</w:t>
      </w:r>
    </w:p>
    <w:p>
      <w:pPr>
        <w:pStyle w:val="BodyText"/>
        <w:spacing w:line="249" w:lineRule="auto" w:before="185"/>
        <w:ind w:left="459"/>
        <w:jc w:val="both"/>
      </w:pPr>
      <w:r>
        <w:rPr>
          <w:color w:val="231F20"/>
        </w:rPr>
        <w:t>In home sales transactions, the buyer and seller agree to binding arbitration by initialing an arbitration provision in their purchase agreement.</w:t>
      </w:r>
    </w:p>
    <w:p>
      <w:pPr>
        <w:pStyle w:val="BodyText"/>
        <w:spacing w:line="249" w:lineRule="auto" w:before="182"/>
        <w:ind w:left="459"/>
        <w:jc w:val="both"/>
      </w:pPr>
      <w:r>
        <w:rPr>
          <w:color w:val="231F20"/>
        </w:rPr>
        <w:t>As a private process, binding arbitration avoids court costs of litigation and thus expedites the dispute resolution process.</w:t>
      </w:r>
    </w:p>
    <w:p>
      <w:pPr>
        <w:pStyle w:val="BodyText"/>
        <w:spacing w:line="249" w:lineRule="auto" w:before="183"/>
        <w:ind w:left="459"/>
        <w:jc w:val="both"/>
      </w:pPr>
      <w:r>
        <w:rPr>
          <w:color w:val="231F20"/>
        </w:rPr>
        <w:t>However, binding arbitration requires the buyer and </w:t>
      </w:r>
      <w:r>
        <w:rPr>
          <w:color w:val="231F20"/>
          <w:spacing w:val="-2"/>
        </w:rPr>
        <w:t>seller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rights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jury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trial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appeal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arbitrator’s</w:t>
      </w:r>
      <w:r>
        <w:rPr>
          <w:color w:val="231F20"/>
          <w:spacing w:val="-11"/>
        </w:rPr>
        <w:t> </w:t>
      </w:r>
      <w:r>
        <w:rPr>
          <w:color w:val="231F20"/>
        </w:rPr>
        <w:t>decision.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arbitrator’s</w:t>
      </w:r>
      <w:r>
        <w:rPr>
          <w:color w:val="231F20"/>
          <w:spacing w:val="-12"/>
        </w:rPr>
        <w:t> </w:t>
      </w:r>
      <w:r>
        <w:rPr>
          <w:color w:val="231F20"/>
        </w:rPr>
        <w:t>award</w:t>
      </w:r>
      <w:r>
        <w:rPr>
          <w:color w:val="231F20"/>
          <w:spacing w:val="-11"/>
        </w:rPr>
        <w:t> </w:t>
      </w:r>
      <w:r>
        <w:rPr>
          <w:color w:val="231F20"/>
        </w:rPr>
        <w:t>is final and a judicial review is not available to correct any type of error, even when the arbitrator incorrectly applies law or assumes facts that do not exist.</w:t>
      </w:r>
    </w:p>
    <w:p>
      <w:pPr>
        <w:pStyle w:val="BodyText"/>
        <w:spacing w:line="249" w:lineRule="auto" w:before="93"/>
        <w:ind w:left="319" w:right="458"/>
        <w:jc w:val="both"/>
      </w:pPr>
      <w:r>
        <w:rPr/>
        <w:br w:type="column"/>
      </w:r>
      <w:r>
        <w:rPr>
          <w:color w:val="231F20"/>
        </w:rPr>
        <w:t>Judicial protection by appeal from an arbitrator’s award is only available when: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9" w:lineRule="auto" w:before="182" w:after="0"/>
        <w:ind w:left="859" w:right="457" w:hanging="270"/>
        <w:jc w:val="both"/>
        <w:rPr>
          <w:sz w:val="22"/>
        </w:rPr>
      </w:pPr>
      <w:r>
        <w:rPr>
          <w:color w:val="231F20"/>
          <w:sz w:val="22"/>
        </w:rPr>
        <w:t>the parties to the agreement have agreed the arbitrator’s award is subject to “judicial review”; </w:t>
      </w:r>
      <w:r>
        <w:rPr>
          <w:color w:val="231F20"/>
          <w:spacing w:val="-6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9" w:lineRule="auto" w:before="183" w:after="0"/>
        <w:ind w:left="859" w:right="457" w:hanging="270"/>
        <w:jc w:val="both"/>
        <w:rPr>
          <w:sz w:val="22"/>
        </w:rPr>
      </w:pPr>
      <w:r>
        <w:rPr>
          <w:color w:val="231F20"/>
          <w:sz w:val="22"/>
        </w:rPr>
        <w:t>the arbitrator exceeded their powers set by the arbitration provision.</w:t>
      </w:r>
    </w:p>
    <w:p>
      <w:pPr>
        <w:pStyle w:val="BodyText"/>
        <w:spacing w:line="249" w:lineRule="auto" w:before="182"/>
        <w:ind w:left="319" w:right="458"/>
        <w:jc w:val="both"/>
      </w:pPr>
      <w:r>
        <w:rPr>
          <w:color w:val="231F20"/>
        </w:rPr>
        <w:t>Some pre-printed purchase agreements contain boilerplate arbitration provisions. However, agreeing to bring any future disputes to arbitration by initialing the provision is voluntary. All purchase agreements contain a resolution-by-mediation provision as a prerequisite activity to arbitration.</w:t>
      </w:r>
    </w:p>
    <w:p>
      <w:pPr>
        <w:pStyle w:val="BodyText"/>
        <w:spacing w:line="249" w:lineRule="auto" w:before="185"/>
        <w:ind w:left="319" w:right="457"/>
        <w:jc w:val="both"/>
      </w:pPr>
      <w:r>
        <w:rPr>
          <w:color w:val="231F20"/>
        </w:rPr>
        <w:t>In a home sales transaction, the buyer and seller separately need to decide, with the counsel of their agent</w:t>
      </w:r>
      <w:r>
        <w:rPr>
          <w:color w:val="231F20"/>
          <w:spacing w:val="-16"/>
        </w:rPr>
        <w:t> </w:t>
      </w:r>
      <w:r>
        <w:rPr>
          <w:color w:val="231F20"/>
        </w:rPr>
        <w:t>or</w:t>
      </w:r>
      <w:r>
        <w:rPr>
          <w:color w:val="231F20"/>
          <w:spacing w:val="-15"/>
        </w:rPr>
        <w:t> </w:t>
      </w:r>
      <w:r>
        <w:rPr>
          <w:color w:val="231F20"/>
        </w:rPr>
        <w:t>attorney,</w:t>
      </w:r>
      <w:r>
        <w:rPr>
          <w:color w:val="231F20"/>
          <w:spacing w:val="-15"/>
        </w:rPr>
        <w:t> </w:t>
      </w:r>
      <w:r>
        <w:rPr>
          <w:color w:val="231F20"/>
        </w:rPr>
        <w:t>whether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agree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limitations</w:t>
      </w:r>
      <w:r>
        <w:rPr>
          <w:color w:val="231F20"/>
          <w:spacing w:val="-15"/>
        </w:rPr>
        <w:t> </w:t>
      </w:r>
      <w:r>
        <w:rPr>
          <w:color w:val="231F20"/>
        </w:rPr>
        <w:t>of binding</w:t>
      </w:r>
      <w:r>
        <w:rPr>
          <w:color w:val="231F20"/>
          <w:spacing w:val="-11"/>
        </w:rPr>
        <w:t> </w:t>
      </w:r>
      <w:r>
        <w:rPr>
          <w:color w:val="231F20"/>
        </w:rPr>
        <w:t>arbitration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initialing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arbitration</w:t>
      </w:r>
      <w:r>
        <w:rPr>
          <w:color w:val="231F20"/>
          <w:spacing w:val="-11"/>
        </w:rPr>
        <w:t> </w:t>
      </w:r>
      <w:r>
        <w:rPr>
          <w:color w:val="231F20"/>
        </w:rPr>
        <w:t>provision in their purchase agreement.</w:t>
      </w:r>
    </w:p>
    <w:p>
      <w:pPr>
        <w:spacing w:after="0" w:line="249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97853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2"/>
      <w:ind w:left="859" w:right="457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2024-09-08T23:55:39Z</dcterms:created>
  <dcterms:modified xsi:type="dcterms:W3CDTF">2024-09-08T23:55:39Z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