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0"/>
        <w:rPr>
          <w:rFonts w:ascii="Times New Roman"/>
        </w:rPr>
      </w:pPr>
    </w:p>
    <w:p>
      <w:pPr>
        <w:pStyle w:val="BodyText"/>
        <w:ind w:left="10" w:right="-44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7759700" cy="990600"/>
                <wp:effectExtent l="0" t="0" r="0" b="0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7759700" cy="990600"/>
                        </a:xfrm>
                        <a:prstGeom prst="rect">
                          <a:avLst/>
                        </a:prstGeom>
                        <a:solidFill>
                          <a:srgbClr val="0091A5"/>
                        </a:solidFill>
                      </wps:spPr>
                      <wps:txbx>
                        <w:txbxContent>
                          <w:p>
                            <w:pPr>
                              <w:spacing w:line="249" w:lineRule="auto" w:before="251"/>
                              <w:ind w:left="4141" w:right="451" w:hanging="2165"/>
                              <w:jc w:val="left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4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2"/>
                                <w:w w:val="115"/>
                                <w:sz w:val="46"/>
                              </w:rPr>
                              <w:t>What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39"/>
                                <w:w w:val="115"/>
                                <w:sz w:val="46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2"/>
                                <w:w w:val="115"/>
                                <w:sz w:val="46"/>
                              </w:rPr>
                              <w:t>are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39"/>
                                <w:w w:val="115"/>
                                <w:sz w:val="46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2"/>
                                <w:w w:val="115"/>
                                <w:sz w:val="46"/>
                              </w:rPr>
                              <w:t>the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39"/>
                                <w:w w:val="115"/>
                                <w:sz w:val="46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2"/>
                                <w:w w:val="115"/>
                                <w:sz w:val="46"/>
                              </w:rPr>
                              <w:t>benefits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39"/>
                                <w:w w:val="115"/>
                                <w:sz w:val="46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2"/>
                                <w:w w:val="115"/>
                                <w:sz w:val="46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39"/>
                                <w:w w:val="115"/>
                                <w:sz w:val="46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2"/>
                                <w:w w:val="115"/>
                                <w:sz w:val="46"/>
                              </w:rPr>
                              <w:t>assuming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39"/>
                                <w:w w:val="115"/>
                                <w:sz w:val="46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2"/>
                                <w:w w:val="115"/>
                                <w:sz w:val="46"/>
                              </w:rPr>
                              <w:t>the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w w:val="115"/>
                                <w:sz w:val="46"/>
                              </w:rPr>
                              <w:t>seller’s mortgage?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611pt;height:78pt;mso-position-horizontal-relative:char;mso-position-vertical-relative:line" type="#_x0000_t202" id="docshape1" filled="true" fillcolor="#0091a5" stroked="false">
                <w10:anchorlock/>
                <v:textbox inset="0,0,0,0">
                  <w:txbxContent>
                    <w:p>
                      <w:pPr>
                        <w:spacing w:line="249" w:lineRule="auto" w:before="251"/>
                        <w:ind w:left="4141" w:right="451" w:hanging="2165"/>
                        <w:jc w:val="left"/>
                        <w:rPr>
                          <w:rFonts w:ascii="Times New Roman" w:hAnsi="Times New Roman"/>
                          <w:b/>
                          <w:color w:val="000000"/>
                          <w:sz w:val="4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2"/>
                          <w:w w:val="115"/>
                          <w:sz w:val="46"/>
                        </w:rPr>
                        <w:t>What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39"/>
                          <w:w w:val="115"/>
                          <w:sz w:val="4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2"/>
                          <w:w w:val="115"/>
                          <w:sz w:val="46"/>
                        </w:rPr>
                        <w:t>are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39"/>
                          <w:w w:val="115"/>
                          <w:sz w:val="4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2"/>
                          <w:w w:val="115"/>
                          <w:sz w:val="46"/>
                        </w:rPr>
                        <w:t>the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39"/>
                          <w:w w:val="115"/>
                          <w:sz w:val="4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2"/>
                          <w:w w:val="115"/>
                          <w:sz w:val="46"/>
                        </w:rPr>
                        <w:t>benefits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39"/>
                          <w:w w:val="115"/>
                          <w:sz w:val="4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2"/>
                          <w:w w:val="115"/>
                          <w:sz w:val="46"/>
                        </w:rPr>
                        <w:t>of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39"/>
                          <w:w w:val="115"/>
                          <w:sz w:val="4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2"/>
                          <w:w w:val="115"/>
                          <w:sz w:val="46"/>
                        </w:rPr>
                        <w:t>assuming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39"/>
                          <w:w w:val="115"/>
                          <w:sz w:val="4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2"/>
                          <w:w w:val="115"/>
                          <w:sz w:val="46"/>
                        </w:rPr>
                        <w:t>the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w w:val="115"/>
                          <w:sz w:val="46"/>
                        </w:rPr>
                        <w:t>seller’s mortgage?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5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BodyText"/>
        <w:spacing w:before="93"/>
        <w:ind w:left="141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2272">
                <wp:simplePos x="0" y="0"/>
                <wp:positionH relativeFrom="page">
                  <wp:posOffset>458216</wp:posOffset>
                </wp:positionH>
                <wp:positionV relativeFrom="paragraph">
                  <wp:posOffset>25039</wp:posOffset>
                </wp:positionV>
                <wp:extent cx="349885" cy="37020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349885" cy="370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82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0091A5"/>
                                <w:spacing w:val="-5"/>
                                <w:sz w:val="52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80002pt;margin-top:1.97163pt;width:27.55pt;height:29.15pt;mso-position-horizontal-relative:page;mso-position-vertical-relative:paragraph;z-index:-15774208" type="#_x0000_t202" id="docshape2" filled="false" stroked="false">
                <v:textbox inset="0,0,0,0">
                  <w:txbxContent>
                    <w:p>
                      <w:pPr>
                        <w:spacing w:line="582" w:lineRule="exact" w:before="0"/>
                        <w:ind w:left="0" w:right="0" w:firstLine="0"/>
                        <w:jc w:val="lef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0091A5"/>
                          <w:spacing w:val="-5"/>
                          <w:sz w:val="52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</w:rPr>
        <w:t>In an assumption, a buyer arranges with the seller 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mortgage</w:t>
      </w:r>
      <w:r>
        <w:rPr>
          <w:color w:val="231F20"/>
          <w:spacing w:val="2"/>
        </w:rPr>
        <w:t> </w:t>
      </w:r>
      <w:r>
        <w:rPr>
          <w:color w:val="231F20"/>
        </w:rPr>
        <w:t>holder</w:t>
      </w:r>
      <w:r>
        <w:rPr>
          <w:color w:val="231F20"/>
          <w:spacing w:val="2"/>
        </w:rPr>
        <w:t> </w:t>
      </w:r>
      <w:r>
        <w:rPr>
          <w:color w:val="231F20"/>
        </w:rPr>
        <w:t>to</w:t>
      </w:r>
      <w:r>
        <w:rPr>
          <w:color w:val="231F20"/>
          <w:spacing w:val="2"/>
        </w:rPr>
        <w:t> </w:t>
      </w:r>
      <w:r>
        <w:rPr>
          <w:color w:val="231F20"/>
        </w:rPr>
        <w:t>take</w:t>
      </w:r>
      <w:r>
        <w:rPr>
          <w:color w:val="231F20"/>
          <w:spacing w:val="2"/>
        </w:rPr>
        <w:t> </w:t>
      </w:r>
      <w:r>
        <w:rPr>
          <w:color w:val="231F20"/>
        </w:rPr>
        <w:t>over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responsibility</w:t>
      </w:r>
    </w:p>
    <w:p>
      <w:pPr>
        <w:pStyle w:val="BodyText"/>
        <w:spacing w:before="1"/>
        <w:ind w:left="721"/>
        <w:jc w:val="both"/>
      </w:pP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mortgage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debt.</w:t>
      </w:r>
    </w:p>
    <w:p>
      <w:pPr>
        <w:pStyle w:val="BodyText"/>
        <w:spacing w:before="90"/>
        <w:ind w:left="721"/>
        <w:jc w:val="both"/>
      </w:pPr>
      <w:r>
        <w:rPr>
          <w:color w:val="231F20"/>
          <w:spacing w:val="-2"/>
        </w:rPr>
        <w:t>Holders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conventional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mortgages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buyer’s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assumption </w:t>
      </w:r>
      <w:r>
        <w:rPr>
          <w:color w:val="231F20"/>
        </w:rPr>
        <w:t>demand modification of the existing mortgage terms, including a change in the interest rate, monthly payments, repayment period and often the principal balance. These mortgages are considered “non-assumable mortgages.”</w:t>
      </w:r>
    </w:p>
    <w:p>
      <w:pPr>
        <w:pStyle w:val="BodyText"/>
        <w:spacing w:before="90"/>
        <w:ind w:left="721"/>
        <w:jc w:val="both"/>
      </w:pPr>
      <w:r>
        <w:rPr>
          <w:color w:val="231F20"/>
        </w:rPr>
        <w:t>However, two types of mortgages are classified as “assumable” by a buyer on their existing terms:</w:t>
      </w:r>
    </w:p>
    <w:p>
      <w:pPr>
        <w:pStyle w:val="ListParagraph"/>
        <w:numPr>
          <w:ilvl w:val="0"/>
          <w:numId w:val="1"/>
        </w:numPr>
        <w:tabs>
          <w:tab w:pos="1171" w:val="left" w:leader="none"/>
        </w:tabs>
        <w:spacing w:line="240" w:lineRule="auto" w:before="90" w:after="0"/>
        <w:ind w:left="1171" w:right="1" w:hanging="270"/>
        <w:jc w:val="both"/>
        <w:rPr>
          <w:sz w:val="20"/>
        </w:rPr>
      </w:pPr>
      <w:r>
        <w:rPr>
          <w:color w:val="231F20"/>
          <w:sz w:val="20"/>
        </w:rPr>
        <w:t>mortgages insured by the Federal Housing Administration (FHA); and</w:t>
      </w:r>
    </w:p>
    <w:p>
      <w:pPr>
        <w:pStyle w:val="ListParagraph"/>
        <w:numPr>
          <w:ilvl w:val="0"/>
          <w:numId w:val="1"/>
        </w:numPr>
        <w:tabs>
          <w:tab w:pos="1171" w:val="left" w:leader="none"/>
        </w:tabs>
        <w:spacing w:line="240" w:lineRule="auto" w:before="90" w:after="0"/>
        <w:ind w:left="1171" w:right="0" w:hanging="270"/>
        <w:jc w:val="both"/>
        <w:rPr>
          <w:sz w:val="20"/>
        </w:rPr>
      </w:pPr>
      <w:r>
        <w:rPr>
          <w:color w:val="231F20"/>
          <w:sz w:val="20"/>
        </w:rPr>
        <w:t>mortgages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guaranteed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by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Department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Veterans Affairs (VA).</w:t>
      </w:r>
    </w:p>
    <w:p>
      <w:pPr>
        <w:pStyle w:val="BodyText"/>
        <w:spacing w:before="90"/>
        <w:ind w:left="721"/>
        <w:jc w:val="both"/>
      </w:pP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seller may use the fact that their mortgage is assumable as an additional marketing tactic. In a time of increased interest rates, buyers are able to assume an FHA-insured or VA-guaranteed mortgage at a lower rate originated in more favorable times. Assumable mortgages also avoid incurring an appraisal fee and expensive loan origination fees demanded on new purchase-assist financing.</w:t>
      </w:r>
    </w:p>
    <w:p>
      <w:pPr>
        <w:pStyle w:val="BodyText"/>
        <w:spacing w:before="90"/>
        <w:ind w:left="721"/>
        <w:jc w:val="both"/>
      </w:pPr>
      <w:r>
        <w:rPr>
          <w:color w:val="231F20"/>
        </w:rPr>
        <w:t>When the buyer assumes a mortgage, they must meet </w:t>
      </w:r>
      <w:r>
        <w:rPr>
          <w:color w:val="231F20"/>
        </w:rPr>
        <w:t>the mortgage</w:t>
      </w:r>
      <w:r>
        <w:rPr>
          <w:color w:val="231F20"/>
          <w:spacing w:val="-2"/>
        </w:rPr>
        <w:t> </w:t>
      </w:r>
      <w:r>
        <w:rPr>
          <w:color w:val="231F20"/>
        </w:rPr>
        <w:t>holder’s</w:t>
      </w:r>
      <w:r>
        <w:rPr>
          <w:color w:val="231F20"/>
          <w:spacing w:val="-2"/>
        </w:rPr>
        <w:t> </w:t>
      </w:r>
      <w:r>
        <w:rPr>
          <w:color w:val="231F20"/>
        </w:rPr>
        <w:t>requirements</w:t>
      </w:r>
      <w:r>
        <w:rPr>
          <w:color w:val="231F20"/>
          <w:spacing w:val="-2"/>
        </w:rPr>
        <w:t> </w:t>
      </w:r>
      <w:r>
        <w:rPr>
          <w:color w:val="231F20"/>
        </w:rPr>
        <w:t>for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formal</w:t>
      </w:r>
      <w:r>
        <w:rPr>
          <w:color w:val="231F20"/>
          <w:spacing w:val="-2"/>
        </w:rPr>
        <w:t> </w:t>
      </w:r>
      <w:r>
        <w:rPr>
          <w:color w:val="231F20"/>
        </w:rPr>
        <w:t>assumption</w:t>
      </w:r>
      <w:r>
        <w:rPr>
          <w:color w:val="231F20"/>
          <w:spacing w:val="-2"/>
        </w:rPr>
        <w:t> </w:t>
      </w:r>
      <w:r>
        <w:rPr>
          <w:color w:val="231F20"/>
        </w:rPr>
        <w:t>of the</w:t>
      </w:r>
      <w:r>
        <w:rPr>
          <w:color w:val="231F20"/>
          <w:spacing w:val="-14"/>
        </w:rPr>
        <w:t> </w:t>
      </w:r>
      <w:r>
        <w:rPr>
          <w:color w:val="231F20"/>
        </w:rPr>
        <w:t>mortgage.</w:t>
      </w:r>
      <w:r>
        <w:rPr>
          <w:color w:val="231F20"/>
          <w:spacing w:val="-14"/>
        </w:rPr>
        <w:t> </w:t>
      </w:r>
      <w:r>
        <w:rPr>
          <w:color w:val="231F20"/>
        </w:rPr>
        <w:t>As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result,</w:t>
      </w:r>
      <w:r>
        <w:rPr>
          <w:color w:val="231F20"/>
          <w:spacing w:val="-9"/>
        </w:rPr>
        <w:t> </w:t>
      </w:r>
      <w:r>
        <w:rPr>
          <w:color w:val="231F20"/>
        </w:rPr>
        <w:t>buyers</w:t>
      </w:r>
      <w:r>
        <w:rPr>
          <w:color w:val="231F20"/>
          <w:spacing w:val="-9"/>
        </w:rPr>
        <w:t> </w:t>
      </w:r>
      <w:r>
        <w:rPr>
          <w:color w:val="231F20"/>
        </w:rPr>
        <w:t>need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qualify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formally assume a mortgage.</w:t>
      </w:r>
    </w:p>
    <w:p>
      <w:pPr>
        <w:pStyle w:val="BodyText"/>
        <w:spacing w:before="93"/>
        <w:ind w:left="319" w:right="718"/>
        <w:jc w:val="both"/>
      </w:pPr>
      <w:r>
        <w:rPr/>
        <w:br w:type="column"/>
      </w:r>
      <w:r>
        <w:rPr>
          <w:color w:val="231F20"/>
        </w:rPr>
        <w:t>When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seller</w:t>
      </w:r>
      <w:r>
        <w:rPr>
          <w:color w:val="231F20"/>
          <w:spacing w:val="-1"/>
        </w:rPr>
        <w:t> </w:t>
      </w:r>
      <w:r>
        <w:rPr>
          <w:color w:val="231F20"/>
        </w:rPr>
        <w:t>has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large</w:t>
      </w:r>
      <w:r>
        <w:rPr>
          <w:color w:val="231F20"/>
          <w:spacing w:val="-2"/>
        </w:rPr>
        <w:t> </w:t>
      </w:r>
      <w:r>
        <w:rPr>
          <w:color w:val="231F20"/>
        </w:rPr>
        <w:t>equity</w:t>
      </w:r>
      <w:r>
        <w:rPr>
          <w:color w:val="231F20"/>
          <w:spacing w:val="-1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their</w:t>
      </w:r>
      <w:r>
        <w:rPr>
          <w:color w:val="231F20"/>
          <w:spacing w:val="-1"/>
        </w:rPr>
        <w:t> </w:t>
      </w:r>
      <w:r>
        <w:rPr>
          <w:color w:val="231F20"/>
        </w:rPr>
        <w:t>property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the buyer</w:t>
      </w:r>
      <w:r>
        <w:rPr>
          <w:color w:val="231F20"/>
          <w:spacing w:val="-14"/>
        </w:rPr>
        <w:t> </w:t>
      </w:r>
      <w:r>
        <w:rPr>
          <w:color w:val="231F20"/>
        </w:rPr>
        <w:t>needs</w:t>
      </w:r>
      <w:r>
        <w:rPr>
          <w:color w:val="231F20"/>
          <w:spacing w:val="-14"/>
        </w:rPr>
        <w:t> </w:t>
      </w:r>
      <w:r>
        <w:rPr>
          <w:color w:val="231F20"/>
        </w:rPr>
        <w:t>to</w:t>
      </w:r>
      <w:r>
        <w:rPr>
          <w:color w:val="231F20"/>
          <w:spacing w:val="-14"/>
        </w:rPr>
        <w:t> </w:t>
      </w:r>
      <w:r>
        <w:rPr>
          <w:color w:val="231F20"/>
        </w:rPr>
        <w:t>make</w:t>
      </w:r>
      <w:r>
        <w:rPr>
          <w:color w:val="231F20"/>
          <w:spacing w:val="-14"/>
        </w:rPr>
        <w:t> </w:t>
      </w:r>
      <w:r>
        <w:rPr>
          <w:color w:val="231F20"/>
        </w:rPr>
        <w:t>up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difference</w:t>
      </w:r>
      <w:r>
        <w:rPr>
          <w:color w:val="231F20"/>
          <w:spacing w:val="-14"/>
        </w:rPr>
        <w:t> </w:t>
      </w:r>
      <w:r>
        <w:rPr>
          <w:color w:val="231F20"/>
        </w:rPr>
        <w:t>between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balance of the mortgage and the purchase price to assume the mortgage, the seller may:</w:t>
      </w:r>
    </w:p>
    <w:p>
      <w:pPr>
        <w:pStyle w:val="ListParagraph"/>
        <w:numPr>
          <w:ilvl w:val="0"/>
          <w:numId w:val="2"/>
        </w:numPr>
        <w:tabs>
          <w:tab w:pos="768" w:val="left" w:leader="none"/>
        </w:tabs>
        <w:spacing w:line="240" w:lineRule="auto" w:before="91" w:after="0"/>
        <w:ind w:left="768" w:right="0" w:hanging="269"/>
        <w:jc w:val="both"/>
        <w:rPr>
          <w:sz w:val="20"/>
        </w:rPr>
      </w:pPr>
      <w:r>
        <w:rPr>
          <w:color w:val="231F20"/>
          <w:sz w:val="20"/>
        </w:rPr>
        <w:t>require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buyer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make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larger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down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payment;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5"/>
          <w:sz w:val="20"/>
        </w:rPr>
        <w:t>or</w:t>
      </w:r>
    </w:p>
    <w:p>
      <w:pPr>
        <w:pStyle w:val="ListParagraph"/>
        <w:numPr>
          <w:ilvl w:val="0"/>
          <w:numId w:val="2"/>
        </w:numPr>
        <w:tabs>
          <w:tab w:pos="769" w:val="left" w:leader="none"/>
        </w:tabs>
        <w:spacing w:line="240" w:lineRule="auto" w:before="90" w:after="0"/>
        <w:ind w:left="769" w:right="718" w:hanging="270"/>
        <w:jc w:val="both"/>
        <w:rPr>
          <w:sz w:val="20"/>
        </w:rPr>
      </w:pPr>
      <w:r>
        <w:rPr>
          <w:color w:val="231F20"/>
          <w:sz w:val="20"/>
        </w:rPr>
        <w:t>carryback a second mortgage together with a smaller down payment.</w:t>
      </w:r>
    </w:p>
    <w:p>
      <w:pPr>
        <w:pStyle w:val="BodyText"/>
        <w:spacing w:before="90"/>
        <w:ind w:left="319" w:right="717"/>
        <w:jc w:val="both"/>
      </w:pPr>
      <w:r>
        <w:rPr>
          <w:color w:val="231F20"/>
        </w:rPr>
        <w:t>When the buyer qualifies, the buyer formally assumes the mortgage by entering into a written assumption agreement with the lender. On conventional mortgage assumptions, the</w:t>
      </w:r>
      <w:r>
        <w:rPr>
          <w:color w:val="231F20"/>
          <w:spacing w:val="-3"/>
        </w:rPr>
        <w:t> </w:t>
      </w:r>
      <w:r>
        <w:rPr>
          <w:color w:val="231F20"/>
        </w:rPr>
        <w:t>lender</w:t>
      </w:r>
      <w:r>
        <w:rPr>
          <w:color w:val="231F20"/>
          <w:spacing w:val="-3"/>
        </w:rPr>
        <w:t> </w:t>
      </w:r>
      <w:r>
        <w:rPr>
          <w:color w:val="231F20"/>
        </w:rPr>
        <w:t>agreeing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an</w:t>
      </w:r>
      <w:r>
        <w:rPr>
          <w:color w:val="231F20"/>
          <w:spacing w:val="-3"/>
        </w:rPr>
        <w:t> </w:t>
      </w:r>
      <w:r>
        <w:rPr>
          <w:color w:val="231F20"/>
        </w:rPr>
        <w:t>assumption</w:t>
      </w:r>
      <w:r>
        <w:rPr>
          <w:color w:val="231F20"/>
          <w:spacing w:val="-3"/>
        </w:rPr>
        <w:t> </w:t>
      </w:r>
      <w:r>
        <w:rPr>
          <w:color w:val="231F20"/>
        </w:rPr>
        <w:t>also</w:t>
      </w:r>
      <w:r>
        <w:rPr>
          <w:color w:val="231F20"/>
          <w:spacing w:val="-3"/>
        </w:rPr>
        <w:t> </w:t>
      </w:r>
      <w:r>
        <w:rPr>
          <w:color w:val="231F20"/>
        </w:rPr>
        <w:t>demands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loan modification to bring the interest rate and payments up to current market rates.</w:t>
      </w:r>
    </w:p>
    <w:p>
      <w:pPr>
        <w:pStyle w:val="BodyText"/>
        <w:spacing w:before="90"/>
        <w:ind w:left="319" w:right="718"/>
        <w:jc w:val="both"/>
      </w:pP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assumption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consumer</w:t>
      </w:r>
      <w:r>
        <w:rPr>
          <w:color w:val="231F20"/>
          <w:spacing w:val="-9"/>
        </w:rPr>
        <w:t> </w:t>
      </w:r>
      <w:r>
        <w:rPr>
          <w:color w:val="231F20"/>
        </w:rPr>
        <w:t>mortgage</w:t>
      </w:r>
      <w:r>
        <w:rPr>
          <w:color w:val="231F20"/>
          <w:spacing w:val="-9"/>
        </w:rPr>
        <w:t> </w:t>
      </w:r>
      <w:r>
        <w:rPr>
          <w:color w:val="231F20"/>
        </w:rPr>
        <w:t>constitutes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new mortgage</w:t>
      </w:r>
      <w:r>
        <w:rPr>
          <w:color w:val="231F20"/>
          <w:spacing w:val="-8"/>
        </w:rPr>
        <w:t> </w:t>
      </w:r>
      <w:r>
        <w:rPr>
          <w:color w:val="231F20"/>
        </w:rPr>
        <w:t>origination</w:t>
      </w:r>
      <w:r>
        <w:rPr>
          <w:color w:val="231F20"/>
          <w:spacing w:val="-8"/>
        </w:rPr>
        <w:t> </w:t>
      </w:r>
      <w:r>
        <w:rPr>
          <w:color w:val="231F20"/>
        </w:rPr>
        <w:t>—</w:t>
      </w:r>
      <w:r>
        <w:rPr>
          <w:color w:val="231F20"/>
          <w:spacing w:val="-8"/>
        </w:rPr>
        <w:t> </w:t>
      </w:r>
      <w:r>
        <w:rPr>
          <w:color w:val="231F20"/>
        </w:rPr>
        <w:t>triggering</w:t>
      </w:r>
      <w:r>
        <w:rPr>
          <w:color w:val="231F20"/>
          <w:spacing w:val="-8"/>
        </w:rPr>
        <w:t> </w:t>
      </w:r>
      <w:r>
        <w:rPr>
          <w:color w:val="231F20"/>
        </w:rPr>
        <w:t>new</w:t>
      </w:r>
      <w:r>
        <w:rPr>
          <w:color w:val="231F20"/>
          <w:spacing w:val="-8"/>
        </w:rPr>
        <w:t> </w:t>
      </w:r>
      <w:r>
        <w:rPr>
          <w:color w:val="231F20"/>
        </w:rPr>
        <w:t>consumer</w:t>
      </w:r>
      <w:r>
        <w:rPr>
          <w:color w:val="231F20"/>
          <w:spacing w:val="-8"/>
        </w:rPr>
        <w:t> </w:t>
      </w:r>
      <w:r>
        <w:rPr>
          <w:color w:val="231F20"/>
        </w:rPr>
        <w:t>mortgage disclosures by the lender — when:</w:t>
      </w:r>
    </w:p>
    <w:p>
      <w:pPr>
        <w:pStyle w:val="ListParagraph"/>
        <w:numPr>
          <w:ilvl w:val="0"/>
          <w:numId w:val="2"/>
        </w:numPr>
        <w:tabs>
          <w:tab w:pos="769" w:val="left" w:leader="none"/>
        </w:tabs>
        <w:spacing w:line="240" w:lineRule="auto" w:before="90" w:after="0"/>
        <w:ind w:left="769" w:right="718" w:hanging="270"/>
        <w:jc w:val="left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mortgage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being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assumed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finance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buyer’s purchase of their one-to-four unit principal residence;</w:t>
      </w:r>
    </w:p>
    <w:p>
      <w:pPr>
        <w:pStyle w:val="ListParagraph"/>
        <w:numPr>
          <w:ilvl w:val="0"/>
          <w:numId w:val="2"/>
        </w:numPr>
        <w:tabs>
          <w:tab w:pos="769" w:val="left" w:leader="none"/>
        </w:tabs>
        <w:spacing w:line="240" w:lineRule="auto" w:before="90" w:after="0"/>
        <w:ind w:left="769" w:right="717" w:hanging="270"/>
        <w:jc w:val="left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lender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agrees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accept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assuming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buyer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the borrower; and</w:t>
      </w:r>
    </w:p>
    <w:p>
      <w:pPr>
        <w:pStyle w:val="ListParagraph"/>
        <w:numPr>
          <w:ilvl w:val="0"/>
          <w:numId w:val="2"/>
        </w:numPr>
        <w:tabs>
          <w:tab w:pos="768" w:val="left" w:leader="none"/>
        </w:tabs>
        <w:spacing w:line="240" w:lineRule="auto" w:before="90" w:after="0"/>
        <w:ind w:left="768" w:right="0" w:hanging="269"/>
        <w:jc w:val="left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assumption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agreement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2"/>
          <w:sz w:val="20"/>
        </w:rPr>
        <w:t> writing.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0" w:right="0"/>
          <w:cols w:num="2" w:equalWidth="0">
            <w:col w:w="5942" w:space="40"/>
            <w:col w:w="6258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736">
                <wp:simplePos x="0" y="0"/>
                <wp:positionH relativeFrom="page">
                  <wp:posOffset>-6350</wp:posOffset>
                </wp:positionH>
                <wp:positionV relativeFrom="page">
                  <wp:posOffset>0</wp:posOffset>
                </wp:positionV>
                <wp:extent cx="7785100" cy="314579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785100" cy="3145790"/>
                          <a:chExt cx="7785100" cy="314579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0"/>
                            <a:ext cx="7772399" cy="31455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350" y="950975"/>
                            <a:ext cx="7772400" cy="135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35382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3311"/>
                                </a:lnTo>
                                <a:lnTo>
                                  <a:pt x="7772400" y="1353311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A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950975"/>
                            <a:ext cx="7772400" cy="135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353820">
                                <a:moveTo>
                                  <a:pt x="0" y="1353311"/>
                                </a:moveTo>
                                <a:lnTo>
                                  <a:pt x="7772400" y="1353311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331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91A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0" y="2146300"/>
                            <a:ext cx="777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FFFFF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350" y="1104900"/>
                            <a:ext cx="777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FFFFF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5pt;margin-top:0pt;width:613pt;height:247.7pt;mso-position-horizontal-relative:page;mso-position-vertical-relative:page;z-index:-15775744" id="docshapegroup3" coordorigin="-10,0" coordsize="12260,4954">
                <v:shape style="position:absolute;left:0;top:0;width:12240;height:4954" type="#_x0000_t75" id="docshape4" stroked="false">
                  <v:imagedata r:id="rId5" o:title=""/>
                </v:shape>
                <v:rect style="position:absolute;left:0;top:1497;width:12240;height:2132" id="docshape5" filled="true" fillcolor="#0091a5" stroked="false">
                  <v:fill type="solid"/>
                </v:rect>
                <v:rect style="position:absolute;left:0;top:1497;width:12240;height:2132" id="docshape6" filled="false" stroked="true" strokeweight="1pt" strokecolor="#0091a5">
                  <v:stroke dashstyle="solid"/>
                </v:rect>
                <v:line style="position:absolute" from="0,3380" to="12240,3380" stroked="true" strokeweight="4pt" strokecolor="#ffffff">
                  <v:stroke dashstyle="dot"/>
                </v:line>
                <v:line style="position:absolute" from="0,1740" to="12240,1740" stroked="true" strokeweight="4pt" strokecolor="#ffffff">
                  <v:stroke dashstyle="dot"/>
                </v:lin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0"/>
      </w:pPr>
    </w:p>
    <w:p>
      <w:pPr>
        <w:spacing w:line="249" w:lineRule="auto" w:before="1"/>
        <w:ind w:left="1396" w:right="8963" w:firstLine="0"/>
        <w:jc w:val="left"/>
        <w:rPr>
          <w:b/>
          <w:sz w:val="20"/>
        </w:rPr>
      </w:pPr>
      <w:r>
        <w:rPr>
          <w:b/>
          <w:sz w:val="20"/>
        </w:rPr>
        <w:t>Christy Dumlao Real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Estate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Broker</w:t>
      </w:r>
    </w:p>
    <w:p>
      <w:pPr>
        <w:pStyle w:val="BodyText"/>
        <w:spacing w:before="121"/>
        <w:ind w:left="1398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5689014</wp:posOffset>
            </wp:positionH>
            <wp:positionV relativeFrom="paragraph">
              <wp:posOffset>97522</wp:posOffset>
            </wp:positionV>
            <wp:extent cx="600807" cy="692902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807" cy="692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DRE</w:t>
      </w:r>
      <w:r>
        <w:rPr>
          <w:spacing w:val="-4"/>
        </w:rPr>
        <w:t> </w:t>
      </w:r>
      <w:r>
        <w:rPr/>
        <w:t>LIC#</w:t>
      </w:r>
      <w:r>
        <w:rPr>
          <w:spacing w:val="-1"/>
        </w:rPr>
        <w:t> </w:t>
      </w:r>
      <w:r>
        <w:rPr>
          <w:spacing w:val="-2"/>
        </w:rPr>
        <w:t>01474985</w:t>
      </w:r>
    </w:p>
    <w:p>
      <w:pPr>
        <w:pStyle w:val="BodyText"/>
        <w:spacing w:before="10"/>
        <w:ind w:left="1398"/>
      </w:pPr>
      <w:r>
        <w:rPr>
          <w:spacing w:val="-2"/>
        </w:rPr>
        <w:t>925-395-</w:t>
      </w:r>
      <w:r>
        <w:rPr>
          <w:spacing w:val="-4"/>
        </w:rPr>
        <w:t>0175</w:t>
      </w:r>
    </w:p>
    <w:p>
      <w:pPr>
        <w:pStyle w:val="BodyText"/>
        <w:spacing w:line="249" w:lineRule="auto" w:before="10"/>
        <w:ind w:left="1398" w:right="59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ragraph">
                  <wp:posOffset>784364</wp:posOffset>
                </wp:positionV>
                <wp:extent cx="7772400" cy="12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777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0091A5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.0pt,61.761017pt" to="612.0pt,61.761017pt" stroked="true" strokeweight="4pt" strokecolor="#0091a5">
                <v:stroke dashstyle="dot"/>
                <w10:wrap type="none"/>
              </v:line>
            </w:pict>
          </mc:Fallback>
        </mc:AlternateContent>
      </w:r>
      <w:hyperlink r:id="rId7">
        <w:r>
          <w:rPr>
            <w:spacing w:val="-2"/>
          </w:rPr>
          <w:t>christy@christyscarealty.com</w:t>
        </w:r>
      </w:hyperlink>
      <w:r>
        <w:rPr>
          <w:spacing w:val="-2"/>
        </w:rPr>
        <w:t> christyscaliforniarealty.com</w:t>
      </w:r>
    </w:p>
    <w:sectPr>
      <w:type w:val="continuous"/>
      <w:pgSz w:w="12240" w:h="1584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769" w:hanging="2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9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9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59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09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59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08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58" w:hanging="27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171" w:hanging="2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6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2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8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4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6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3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13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89" w:hanging="27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82" w:lineRule="exact"/>
    </w:pPr>
    <w:rPr>
      <w:rFonts w:ascii="Arial" w:hAnsi="Arial" w:eastAsia="Arial" w:cs="Arial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769" w:hanging="270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christy@christyscarealty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2024-09-08T22:57:55Z</dcterms:created>
  <dcterms:modified xsi:type="dcterms:W3CDTF">2024-09-08T22:57:55Z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2024-09-08T00:00:00Z</vt:filetime>
  </property>
  <property fmtid="{D5CDD505-2E9C-101B-9397-08002B2CF9AE}" pid="5" name="Producer">
    <vt:lpwstr>Adobe LiveCycle Designer 11.0</vt:lpwstr>
  </property>
</Properties>
</file>