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6"/>
        </w:rPr>
      </w:pPr>
    </w:p>
    <w:p>
      <w:pPr>
        <w:pStyle w:val="BodyText"/>
        <w:rPr>
          <w:rFonts w:ascii="Times New Roman"/>
          <w:sz w:val="46"/>
        </w:rPr>
      </w:pPr>
    </w:p>
    <w:p>
      <w:pPr>
        <w:pStyle w:val="BodyText"/>
        <w:spacing w:before="48"/>
        <w:rPr>
          <w:rFonts w:ascii="Times New Roman"/>
          <w:sz w:val="46"/>
        </w:rPr>
      </w:pPr>
    </w:p>
    <w:p>
      <w:pPr>
        <w:spacing w:line="249" w:lineRule="auto" w:before="0"/>
        <w:ind w:left="2080" w:right="5880" w:firstLine="300"/>
        <w:jc w:val="left"/>
        <w:rPr>
          <w:rFonts w:ascii="Times New Roman"/>
          <w:b/>
          <w:sz w:val="46"/>
        </w:rPr>
      </w:pPr>
      <w:r>
        <w:rPr>
          <w:rFonts w:ascii="Times New Roman"/>
          <w:b/>
          <w:color w:val="FFFFFF"/>
          <w:w w:val="110"/>
          <w:sz w:val="46"/>
        </w:rPr>
        <w:t>What</w:t>
      </w:r>
      <w:r>
        <w:rPr>
          <w:rFonts w:ascii="Times New Roman"/>
          <w:b/>
          <w:color w:val="FFFFFF"/>
          <w:spacing w:val="-30"/>
          <w:w w:val="110"/>
          <w:sz w:val="46"/>
        </w:rPr>
        <w:t> </w:t>
      </w:r>
      <w:r>
        <w:rPr>
          <w:rFonts w:ascii="Times New Roman"/>
          <w:b/>
          <w:color w:val="FFFFFF"/>
          <w:w w:val="110"/>
          <w:sz w:val="46"/>
        </w:rPr>
        <w:t>is</w:t>
      </w:r>
      <w:r>
        <w:rPr>
          <w:rFonts w:ascii="Times New Roman"/>
          <w:b/>
          <w:color w:val="FFFFFF"/>
          <w:spacing w:val="-30"/>
          <w:w w:val="110"/>
          <w:sz w:val="46"/>
        </w:rPr>
        <w:t> </w:t>
      </w:r>
      <w:r>
        <w:rPr>
          <w:rFonts w:ascii="Times New Roman"/>
          <w:b/>
          <w:color w:val="FFFFFF"/>
          <w:w w:val="110"/>
          <w:sz w:val="46"/>
        </w:rPr>
        <w:t>a </w:t>
      </w:r>
      <w:r>
        <w:rPr>
          <w:rFonts w:ascii="Times New Roman"/>
          <w:b/>
          <w:color w:val="FFFFFF"/>
          <w:spacing w:val="-2"/>
          <w:w w:val="115"/>
          <w:sz w:val="46"/>
        </w:rPr>
        <w:t>balloon</w:t>
      </w:r>
    </w:p>
    <w:p>
      <w:pPr>
        <w:spacing w:line="249" w:lineRule="auto" w:before="4"/>
        <w:ind w:left="1140" w:right="5880" w:firstLine="479"/>
        <w:jc w:val="left"/>
        <w:rPr>
          <w:rFonts w:ascii="Times New Roman"/>
          <w:b/>
          <w:sz w:val="46"/>
        </w:rPr>
      </w:pPr>
      <w:r>
        <w:rPr>
          <w:rFonts w:ascii="Times New Roman"/>
          <w:b/>
          <w:color w:val="FFFFFF"/>
          <w:spacing w:val="-2"/>
          <w:w w:val="110"/>
          <w:sz w:val="46"/>
        </w:rPr>
        <w:t>payment </w:t>
      </w:r>
      <w:r>
        <w:rPr>
          <w:rFonts w:ascii="Times New Roman"/>
          <w:b/>
          <w:color w:val="FFFFFF"/>
          <w:spacing w:val="-2"/>
          <w:w w:val="115"/>
          <w:sz w:val="46"/>
        </w:rPr>
        <w:t>mortgage?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22"/>
        <w:rPr>
          <w:rFonts w:ascii="Times New Roman"/>
          <w:b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0" w:left="260" w:right="240"/>
        </w:sectPr>
      </w:pPr>
    </w:p>
    <w:p>
      <w:pPr>
        <w:pStyle w:val="BodyText"/>
        <w:spacing w:before="92"/>
        <w:ind w:left="100" w:right="38" w:firstLine="694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228600</wp:posOffset>
                </wp:positionH>
                <wp:positionV relativeFrom="paragraph">
                  <wp:posOffset>77213</wp:posOffset>
                </wp:positionV>
                <wp:extent cx="349885" cy="37020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4988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8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00AEEF"/>
                                <w:spacing w:val="-5"/>
                                <w:sz w:val="52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8pt;margin-top:6.079836pt;width:27.55pt;height:29.15pt;mso-position-horizontal-relative:page;mso-position-vertical-relative:paragraph;z-index:15729664" type="#_x0000_t202" id="docshape1" filled="false" stroked="false">
                <v:textbox inset="0,0,0,0">
                  <w:txbxContent>
                    <w:p>
                      <w:pPr>
                        <w:spacing w:line="582" w:lineRule="exact" w:before="0"/>
                        <w:ind w:left="0" w:right="0" w:firstLine="0"/>
                        <w:jc w:val="lef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00AEEF"/>
                          <w:spacing w:val="-5"/>
                          <w:sz w:val="52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Final/balloon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payment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mortgages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contain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due </w:t>
      </w:r>
      <w:r>
        <w:rPr>
          <w:color w:val="231F20"/>
        </w:rPr>
        <w:t>date provisions calling for final payment of the principal</w:t>
      </w:r>
      <w:r>
        <w:rPr>
          <w:color w:val="231F20"/>
          <w:spacing w:val="-7"/>
        </w:rPr>
        <w:t> </w:t>
      </w:r>
      <w:r>
        <w:rPr>
          <w:color w:val="231F20"/>
        </w:rPr>
        <w:t>balance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lump</w:t>
      </w:r>
      <w:r>
        <w:rPr>
          <w:color w:val="231F20"/>
          <w:spacing w:val="-7"/>
        </w:rPr>
        <w:t> </w:t>
      </w:r>
      <w:r>
        <w:rPr>
          <w:color w:val="231F20"/>
        </w:rPr>
        <w:t>sum</w:t>
      </w:r>
      <w:r>
        <w:rPr>
          <w:color w:val="231F20"/>
          <w:spacing w:val="-7"/>
        </w:rPr>
        <w:t> </w:t>
      </w:r>
      <w:r>
        <w:rPr>
          <w:color w:val="231F20"/>
        </w:rPr>
        <w:t>before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principal</w:t>
      </w:r>
    </w:p>
    <w:p>
      <w:pPr>
        <w:pStyle w:val="BodyText"/>
        <w:ind w:left="100"/>
        <w:jc w:val="both"/>
      </w:pP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fully</w:t>
      </w:r>
      <w:r>
        <w:rPr>
          <w:color w:val="231F20"/>
          <w:spacing w:val="-3"/>
        </w:rPr>
        <w:t> </w:t>
      </w:r>
      <w:r>
        <w:rPr>
          <w:color w:val="231F20"/>
        </w:rPr>
        <w:t>amortized</w:t>
      </w:r>
      <w:r>
        <w:rPr>
          <w:color w:val="231F20"/>
          <w:spacing w:val="-3"/>
        </w:rPr>
        <w:t> </w:t>
      </w:r>
      <w:r>
        <w:rPr>
          <w:color w:val="231F20"/>
        </w:rPr>
        <w:t>through</w:t>
      </w:r>
      <w:r>
        <w:rPr>
          <w:color w:val="231F20"/>
          <w:spacing w:val="-3"/>
        </w:rPr>
        <w:t> </w:t>
      </w:r>
      <w:r>
        <w:rPr>
          <w:color w:val="231F20"/>
        </w:rPr>
        <w:t>periodic</w:t>
      </w:r>
      <w:r>
        <w:rPr>
          <w:color w:val="231F20"/>
          <w:spacing w:val="-2"/>
        </w:rPr>
        <w:t> payments.</w:t>
      </w:r>
    </w:p>
    <w:p>
      <w:pPr>
        <w:pStyle w:val="BodyText"/>
        <w:spacing w:before="200"/>
        <w:ind w:left="100" w:right="38"/>
        <w:jc w:val="both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homebuyer</w:t>
      </w:r>
      <w:r>
        <w:rPr>
          <w:color w:val="231F20"/>
          <w:spacing w:val="-5"/>
        </w:rPr>
        <w:t> </w:t>
      </w:r>
      <w:r>
        <w:rPr>
          <w:color w:val="231F20"/>
        </w:rPr>
        <w:t>mortgages,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final/balloon</w:t>
      </w:r>
      <w:r>
        <w:rPr>
          <w:color w:val="231F20"/>
          <w:spacing w:val="-5"/>
        </w:rPr>
        <w:t> </w:t>
      </w:r>
      <w:r>
        <w:rPr>
          <w:color w:val="231F20"/>
        </w:rPr>
        <w:t>payment </w:t>
      </w:r>
      <w:r>
        <w:rPr>
          <w:color w:val="231F20"/>
          <w:spacing w:val="-4"/>
        </w:rPr>
        <w:t>mortgage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has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scheduled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final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payment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more </w:t>
      </w:r>
      <w:r>
        <w:rPr>
          <w:color w:val="231F20"/>
        </w:rPr>
        <w:t>than twice the amount of any of the six regularly scheduled payments immediately preceding the balloon payment date.</w:t>
      </w:r>
    </w:p>
    <w:p>
      <w:pPr>
        <w:pStyle w:val="BodyText"/>
        <w:spacing w:before="200"/>
        <w:ind w:left="100" w:right="38"/>
        <w:jc w:val="both"/>
      </w:pPr>
      <w:r>
        <w:rPr>
          <w:color w:val="231F20"/>
        </w:rPr>
        <w:t>Final/balloon payments on consumer-purpose, homebuyer mortgages have become rare due to </w:t>
      </w:r>
      <w:r>
        <w:rPr>
          <w:color w:val="231F20"/>
          <w:spacing w:val="-4"/>
        </w:rPr>
        <w:t>consumer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mortgage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legislation,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known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Regulation </w:t>
      </w:r>
      <w:r>
        <w:rPr>
          <w:color w:val="231F20"/>
          <w:spacing w:val="-2"/>
        </w:rPr>
        <w:t>Z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(Reg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Z).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When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mortgage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complies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Reg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Z </w:t>
      </w:r>
      <w:r>
        <w:rPr>
          <w:color w:val="231F20"/>
        </w:rPr>
        <w:t>qualified mortgage (QM) standards, your mortgage needs to be fully amortized in substantially equal regular</w:t>
      </w:r>
      <w:r>
        <w:rPr>
          <w:color w:val="231F20"/>
          <w:spacing w:val="-4"/>
        </w:rPr>
        <w:t> </w:t>
      </w:r>
      <w:r>
        <w:rPr>
          <w:color w:val="231F20"/>
        </w:rPr>
        <w:t>installments,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rule</w:t>
      </w:r>
      <w:r>
        <w:rPr>
          <w:color w:val="231F20"/>
          <w:spacing w:val="-4"/>
        </w:rPr>
        <w:t> </w:t>
      </w:r>
      <w:r>
        <w:rPr>
          <w:color w:val="231F20"/>
        </w:rPr>
        <w:t>eliminating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inclusion of a final/balloon payment provision. Business- purpose</w:t>
      </w:r>
      <w:r>
        <w:rPr>
          <w:color w:val="231F20"/>
          <w:spacing w:val="-17"/>
        </w:rPr>
        <w:t> </w:t>
      </w:r>
      <w:r>
        <w:rPr>
          <w:color w:val="231F20"/>
        </w:rPr>
        <w:t>mortgages</w:t>
      </w:r>
      <w:r>
        <w:rPr>
          <w:color w:val="231F20"/>
          <w:spacing w:val="-17"/>
        </w:rPr>
        <w:t> </w:t>
      </w:r>
      <w:r>
        <w:rPr>
          <w:color w:val="231F20"/>
        </w:rPr>
        <w:t>often</w:t>
      </w:r>
      <w:r>
        <w:rPr>
          <w:color w:val="231F20"/>
          <w:spacing w:val="-16"/>
        </w:rPr>
        <w:t> </w:t>
      </w:r>
      <w:r>
        <w:rPr>
          <w:color w:val="231F20"/>
        </w:rPr>
        <w:t>have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due</w:t>
      </w:r>
      <w:r>
        <w:rPr>
          <w:color w:val="231F20"/>
          <w:spacing w:val="-17"/>
        </w:rPr>
        <w:t> </w:t>
      </w:r>
      <w:r>
        <w:rPr>
          <w:color w:val="231F20"/>
        </w:rPr>
        <w:t>date</w:t>
      </w:r>
      <w:r>
        <w:rPr>
          <w:color w:val="231F20"/>
          <w:spacing w:val="-16"/>
        </w:rPr>
        <w:t> </w:t>
      </w:r>
      <w:r>
        <w:rPr>
          <w:color w:val="231F20"/>
        </w:rPr>
        <w:t>for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final/ balloon payment as they are not subject to federal consumer mortgage law.</w:t>
      </w:r>
    </w:p>
    <w:p>
      <w:pPr>
        <w:pStyle w:val="BodyText"/>
        <w:spacing w:before="200"/>
        <w:ind w:left="100" w:right="38"/>
        <w:jc w:val="both"/>
      </w:pPr>
      <w:r>
        <w:rPr>
          <w:color w:val="231F20"/>
        </w:rPr>
        <w:t>When your consumer mortgage has a final/balloon payment,</w:t>
      </w:r>
      <w:r>
        <w:rPr>
          <w:color w:val="231F20"/>
          <w:spacing w:val="-11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lender</w:t>
      </w:r>
      <w:r>
        <w:rPr>
          <w:color w:val="231F20"/>
          <w:spacing w:val="-8"/>
        </w:rPr>
        <w:t> </w:t>
      </w:r>
      <w:r>
        <w:rPr>
          <w:color w:val="231F20"/>
        </w:rPr>
        <w:t>needs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document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good</w:t>
      </w:r>
    </w:p>
    <w:p>
      <w:pPr>
        <w:pStyle w:val="BodyText"/>
        <w:spacing w:before="92"/>
        <w:ind w:left="100" w:right="117"/>
        <w:jc w:val="both"/>
      </w:pPr>
      <w:r>
        <w:rPr/>
        <w:br w:type="column"/>
      </w:r>
      <w:r>
        <w:rPr>
          <w:color w:val="231F20"/>
        </w:rPr>
        <w:t>faith</w:t>
      </w:r>
      <w:r>
        <w:rPr>
          <w:color w:val="231F20"/>
          <w:spacing w:val="-11"/>
        </w:rPr>
        <w:t> </w:t>
      </w:r>
      <w:r>
        <w:rPr>
          <w:color w:val="231F20"/>
        </w:rPr>
        <w:t>effort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determine</w:t>
      </w:r>
      <w:r>
        <w:rPr>
          <w:color w:val="231F20"/>
          <w:spacing w:val="-11"/>
        </w:rPr>
        <w:t> </w:t>
      </w:r>
      <w:r>
        <w:rPr>
          <w:color w:val="231F20"/>
        </w:rPr>
        <w:t>your</w:t>
      </w:r>
      <w:r>
        <w:rPr>
          <w:color w:val="231F20"/>
          <w:spacing w:val="-11"/>
        </w:rPr>
        <w:t> </w:t>
      </w:r>
      <w:r>
        <w:rPr>
          <w:color w:val="231F20"/>
        </w:rPr>
        <w:t>ability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actually</w:t>
      </w:r>
      <w:r>
        <w:rPr>
          <w:color w:val="231F20"/>
          <w:spacing w:val="-11"/>
        </w:rPr>
        <w:t> </w:t>
      </w:r>
      <w:r>
        <w:rPr>
          <w:color w:val="231F20"/>
        </w:rPr>
        <w:t>repay the mortgage when it is due.</w:t>
      </w:r>
    </w:p>
    <w:p>
      <w:pPr>
        <w:pStyle w:val="BodyText"/>
        <w:spacing w:before="200"/>
        <w:ind w:left="100" w:right="117"/>
        <w:jc w:val="both"/>
      </w:pPr>
      <w:r>
        <w:rPr>
          <w:color w:val="231F20"/>
        </w:rPr>
        <w:t>A consumer or business mortgage with a term </w:t>
      </w:r>
      <w:r>
        <w:rPr>
          <w:color w:val="231F20"/>
          <w:spacing w:val="-4"/>
        </w:rPr>
        <w:t>exceeding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year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secured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by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primary </w:t>
      </w:r>
      <w:r>
        <w:rPr>
          <w:color w:val="231F20"/>
        </w:rPr>
        <w:t>residence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contains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final/balloon</w:t>
      </w:r>
      <w:r>
        <w:rPr>
          <w:color w:val="231F20"/>
          <w:spacing w:val="-10"/>
        </w:rPr>
        <w:t> </w:t>
      </w:r>
      <w:r>
        <w:rPr>
          <w:color w:val="231F20"/>
        </w:rPr>
        <w:t>payment</w:t>
      </w:r>
      <w:r>
        <w:rPr>
          <w:color w:val="231F20"/>
          <w:spacing w:val="-11"/>
        </w:rPr>
        <w:t> </w:t>
      </w:r>
      <w:r>
        <w:rPr>
          <w:color w:val="231F20"/>
        </w:rPr>
        <w:t>due date is required to include a 90/150-day due date notice provision.</w:t>
      </w:r>
    </w:p>
    <w:p>
      <w:pPr>
        <w:pStyle w:val="BodyText"/>
        <w:spacing w:before="200"/>
        <w:ind w:left="100" w:right="117"/>
        <w:jc w:val="both"/>
      </w:pP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notice</w:t>
      </w:r>
      <w:r>
        <w:rPr>
          <w:color w:val="231F20"/>
          <w:spacing w:val="-13"/>
        </w:rPr>
        <w:t> </w:t>
      </w:r>
      <w:r>
        <w:rPr>
          <w:color w:val="231F20"/>
        </w:rPr>
        <w:t>reminds</w:t>
      </w:r>
      <w:r>
        <w:rPr>
          <w:color w:val="231F20"/>
          <w:spacing w:val="-13"/>
        </w:rPr>
        <w:t> </w:t>
      </w:r>
      <w:r>
        <w:rPr>
          <w:color w:val="231F20"/>
        </w:rPr>
        <w:t>you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final/balloon</w:t>
      </w:r>
      <w:r>
        <w:rPr>
          <w:color w:val="231F20"/>
          <w:spacing w:val="-13"/>
        </w:rPr>
        <w:t> </w:t>
      </w:r>
      <w:r>
        <w:rPr>
          <w:color w:val="231F20"/>
        </w:rPr>
        <w:t>payment and</w:t>
      </w:r>
      <w:r>
        <w:rPr>
          <w:color w:val="231F20"/>
          <w:spacing w:val="-13"/>
        </w:rPr>
        <w:t> </w:t>
      </w:r>
      <w:r>
        <w:rPr>
          <w:color w:val="231F20"/>
        </w:rPr>
        <w:t>gives</w:t>
      </w:r>
      <w:r>
        <w:rPr>
          <w:color w:val="231F20"/>
          <w:spacing w:val="-13"/>
        </w:rPr>
        <w:t> </w:t>
      </w:r>
      <w:r>
        <w:rPr>
          <w:color w:val="231F20"/>
        </w:rPr>
        <w:t>you</w:t>
      </w:r>
      <w:r>
        <w:rPr>
          <w:color w:val="231F20"/>
          <w:spacing w:val="-13"/>
        </w:rPr>
        <w:t> </w:t>
      </w:r>
      <w:r>
        <w:rPr>
          <w:color w:val="231F20"/>
        </w:rPr>
        <w:t>an</w:t>
      </w:r>
      <w:r>
        <w:rPr>
          <w:color w:val="231F20"/>
          <w:spacing w:val="-13"/>
        </w:rPr>
        <w:t> </w:t>
      </w:r>
      <w:r>
        <w:rPr>
          <w:color w:val="231F20"/>
        </w:rPr>
        <w:t>opportunity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modify,</w:t>
      </w:r>
      <w:r>
        <w:rPr>
          <w:color w:val="231F20"/>
          <w:spacing w:val="-13"/>
        </w:rPr>
        <w:t> </w:t>
      </w:r>
      <w:r>
        <w:rPr>
          <w:color w:val="231F20"/>
        </w:rPr>
        <w:t>refinance</w:t>
      </w:r>
      <w:r>
        <w:rPr>
          <w:color w:val="231F20"/>
          <w:spacing w:val="-13"/>
        </w:rPr>
        <w:t> </w:t>
      </w:r>
      <w:r>
        <w:rPr>
          <w:color w:val="231F20"/>
        </w:rPr>
        <w:t>or pay off the remaining principal balance before the final/balloon payment becomes due.</w:t>
      </w:r>
    </w:p>
    <w:p>
      <w:pPr>
        <w:pStyle w:val="BodyText"/>
        <w:spacing w:before="200"/>
        <w:ind w:left="100" w:right="117"/>
        <w:jc w:val="both"/>
      </w:pPr>
      <w:r>
        <w:rPr>
          <w:color w:val="231F20"/>
        </w:rPr>
        <w:t>The notice needs to be delivered at least 90 days, but not more than 150 days, before the due date (hence the term 90/150).</w:t>
      </w:r>
    </w:p>
    <w:p>
      <w:pPr>
        <w:pStyle w:val="BodyText"/>
        <w:spacing w:before="200"/>
        <w:ind w:left="100" w:right="116"/>
        <w:jc w:val="both"/>
      </w:pPr>
      <w:r>
        <w:rPr>
          <w:color w:val="231F20"/>
        </w:rPr>
        <w:t>When</w:t>
      </w:r>
      <w:r>
        <w:rPr>
          <w:color w:val="231F20"/>
          <w:spacing w:val="-17"/>
        </w:rPr>
        <w:t> </w:t>
      </w:r>
      <w:r>
        <w:rPr>
          <w:color w:val="231F20"/>
        </w:rPr>
        <w:t>the</w:t>
      </w:r>
      <w:r>
        <w:rPr>
          <w:color w:val="231F20"/>
          <w:spacing w:val="-17"/>
        </w:rPr>
        <w:t> </w:t>
      </w:r>
      <w:r>
        <w:rPr>
          <w:color w:val="231F20"/>
        </w:rPr>
        <w:t>notice</w:t>
      </w:r>
      <w:r>
        <w:rPr>
          <w:color w:val="231F20"/>
          <w:spacing w:val="-16"/>
        </w:rPr>
        <w:t> </w:t>
      </w:r>
      <w:r>
        <w:rPr>
          <w:color w:val="231F20"/>
        </w:rPr>
        <w:t>is</w:t>
      </w:r>
      <w:r>
        <w:rPr>
          <w:color w:val="231F20"/>
          <w:spacing w:val="-17"/>
        </w:rPr>
        <w:t> </w:t>
      </w:r>
      <w:r>
        <w:rPr>
          <w:color w:val="231F20"/>
        </w:rPr>
        <w:t>not</w:t>
      </w:r>
      <w:r>
        <w:rPr>
          <w:color w:val="231F20"/>
          <w:spacing w:val="-17"/>
        </w:rPr>
        <w:t> </w:t>
      </w:r>
      <w:r>
        <w:rPr>
          <w:color w:val="231F20"/>
        </w:rPr>
        <w:t>timely</w:t>
      </w:r>
      <w:r>
        <w:rPr>
          <w:color w:val="231F20"/>
          <w:spacing w:val="-17"/>
        </w:rPr>
        <w:t> </w:t>
      </w:r>
      <w:r>
        <w:rPr>
          <w:color w:val="231F20"/>
        </w:rPr>
        <w:t>delivered,</w:t>
      </w:r>
      <w:r>
        <w:rPr>
          <w:color w:val="231F20"/>
          <w:spacing w:val="-16"/>
        </w:rPr>
        <w:t> </w:t>
      </w:r>
      <w:r>
        <w:rPr>
          <w:color w:val="231F20"/>
        </w:rPr>
        <w:t>the</w:t>
      </w:r>
      <w:r>
        <w:rPr>
          <w:color w:val="231F20"/>
          <w:spacing w:val="-17"/>
        </w:rPr>
        <w:t> </w:t>
      </w:r>
      <w:r>
        <w:rPr>
          <w:color w:val="231F20"/>
        </w:rPr>
        <w:t>due</w:t>
      </w:r>
      <w:r>
        <w:rPr>
          <w:color w:val="231F20"/>
          <w:spacing w:val="-17"/>
        </w:rPr>
        <w:t> </w:t>
      </w:r>
      <w:r>
        <w:rPr>
          <w:color w:val="231F20"/>
        </w:rPr>
        <w:t>date of the final/balloon payment is extended until 90 days</w:t>
      </w:r>
      <w:r>
        <w:rPr>
          <w:color w:val="231F20"/>
          <w:spacing w:val="-15"/>
        </w:rPr>
        <w:t> </w:t>
      </w:r>
      <w:r>
        <w:rPr>
          <w:color w:val="231F20"/>
        </w:rPr>
        <w:t>after</w:t>
      </w:r>
      <w:r>
        <w:rPr>
          <w:color w:val="231F20"/>
          <w:spacing w:val="-15"/>
        </w:rPr>
        <w:t> </w:t>
      </w:r>
      <w:r>
        <w:rPr>
          <w:color w:val="231F20"/>
        </w:rPr>
        <w:t>proper</w:t>
      </w:r>
      <w:r>
        <w:rPr>
          <w:color w:val="231F20"/>
          <w:spacing w:val="-15"/>
        </w:rPr>
        <w:t> </w:t>
      </w:r>
      <w:r>
        <w:rPr>
          <w:color w:val="231F20"/>
        </w:rPr>
        <w:t>notice</w:t>
      </w:r>
      <w:r>
        <w:rPr>
          <w:color w:val="231F20"/>
          <w:spacing w:val="-15"/>
        </w:rPr>
        <w:t> </w:t>
      </w:r>
      <w:r>
        <w:rPr>
          <w:color w:val="231F20"/>
        </w:rPr>
        <w:t>is</w:t>
      </w:r>
      <w:r>
        <w:rPr>
          <w:color w:val="231F20"/>
          <w:spacing w:val="-15"/>
        </w:rPr>
        <w:t> </w:t>
      </w:r>
      <w:r>
        <w:rPr>
          <w:color w:val="231F20"/>
        </w:rPr>
        <w:t>delivered.</w:t>
      </w:r>
      <w:r>
        <w:rPr>
          <w:color w:val="231F20"/>
          <w:spacing w:val="-15"/>
        </w:rPr>
        <w:t> </w:t>
      </w:r>
      <w:r>
        <w:rPr>
          <w:color w:val="231F20"/>
        </w:rPr>
        <w:t>No</w:t>
      </w:r>
      <w:r>
        <w:rPr>
          <w:color w:val="231F20"/>
          <w:spacing w:val="-15"/>
        </w:rPr>
        <w:t> </w:t>
      </w:r>
      <w:r>
        <w:rPr>
          <w:color w:val="231F20"/>
        </w:rPr>
        <w:t>other</w:t>
      </w:r>
      <w:r>
        <w:rPr>
          <w:color w:val="231F20"/>
          <w:spacing w:val="-15"/>
        </w:rPr>
        <w:t> </w:t>
      </w:r>
      <w:r>
        <w:rPr>
          <w:color w:val="231F20"/>
        </w:rPr>
        <w:t>terms of</w:t>
      </w:r>
      <w:r>
        <w:rPr>
          <w:color w:val="231F20"/>
          <w:spacing w:val="-17"/>
        </w:rPr>
        <w:t> </w:t>
      </w:r>
      <w:r>
        <w:rPr>
          <w:color w:val="231F20"/>
        </w:rPr>
        <w:t>the</w:t>
      </w:r>
      <w:r>
        <w:rPr>
          <w:color w:val="231F20"/>
          <w:spacing w:val="-17"/>
        </w:rPr>
        <w:t> </w:t>
      </w:r>
      <w:r>
        <w:rPr>
          <w:color w:val="231F20"/>
        </w:rPr>
        <w:t>note</w:t>
      </w:r>
      <w:r>
        <w:rPr>
          <w:color w:val="231F20"/>
          <w:spacing w:val="-16"/>
        </w:rPr>
        <w:t> </w:t>
      </w:r>
      <w:r>
        <w:rPr>
          <w:color w:val="231F20"/>
        </w:rPr>
        <w:t>are</w:t>
      </w:r>
      <w:r>
        <w:rPr>
          <w:color w:val="231F20"/>
          <w:spacing w:val="-17"/>
        </w:rPr>
        <w:t> </w:t>
      </w:r>
      <w:r>
        <w:rPr>
          <w:color w:val="231F20"/>
        </w:rPr>
        <w:t>affected.</w:t>
      </w:r>
      <w:r>
        <w:rPr>
          <w:color w:val="231F20"/>
          <w:spacing w:val="-17"/>
        </w:rPr>
        <w:t> </w:t>
      </w:r>
      <w:r>
        <w:rPr>
          <w:color w:val="231F20"/>
        </w:rPr>
        <w:t>Thus,</w:t>
      </w:r>
      <w:r>
        <w:rPr>
          <w:color w:val="231F20"/>
          <w:spacing w:val="-17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accrual</w:t>
      </w:r>
      <w:r>
        <w:rPr>
          <w:color w:val="231F20"/>
          <w:spacing w:val="-17"/>
        </w:rPr>
        <w:t> </w:t>
      </w:r>
      <w:r>
        <w:rPr>
          <w:color w:val="231F20"/>
        </w:rPr>
        <w:t>of</w:t>
      </w:r>
      <w:r>
        <w:rPr>
          <w:color w:val="231F20"/>
          <w:spacing w:val="-17"/>
        </w:rPr>
        <w:t> </w:t>
      </w:r>
      <w:r>
        <w:rPr>
          <w:color w:val="231F20"/>
        </w:rPr>
        <w:t>interest and the schedule of periodic payments remain the same during the extended due date period.</w:t>
      </w:r>
    </w:p>
    <w:p>
      <w:pPr>
        <w:spacing w:after="0"/>
        <w:jc w:val="both"/>
        <w:sectPr>
          <w:type w:val="continuous"/>
          <w:pgSz w:w="12240" w:h="15840"/>
          <w:pgMar w:top="0" w:bottom="0" w:left="260" w:right="240"/>
          <w:cols w:num="2" w:equalWidth="0">
            <w:col w:w="5586" w:space="488"/>
            <w:col w:w="5666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14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79781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772400" cy="7978140"/>
                          <a:chExt cx="7772400" cy="79781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300" y="237743"/>
                            <a:ext cx="7302500" cy="294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975225" cy="521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5225" h="5214620">
                                <a:moveTo>
                                  <a:pt x="4974697" y="0"/>
                                </a:moveTo>
                                <a:lnTo>
                                  <a:pt x="2059244" y="0"/>
                                </a:lnTo>
                                <a:lnTo>
                                  <a:pt x="0" y="2327553"/>
                                </a:lnTo>
                                <a:lnTo>
                                  <a:pt x="0" y="4894300"/>
                                </a:lnTo>
                                <a:lnTo>
                                  <a:pt x="361571" y="5214192"/>
                                </a:lnTo>
                                <a:lnTo>
                                  <a:pt x="4974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772400" cy="797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978140">
                                <a:moveTo>
                                  <a:pt x="777240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lnTo>
                                  <a:pt x="0" y="3182112"/>
                                </a:lnTo>
                                <a:lnTo>
                                  <a:pt x="0" y="6496812"/>
                                </a:lnTo>
                                <a:lnTo>
                                  <a:pt x="0" y="7978140"/>
                                </a:lnTo>
                                <a:lnTo>
                                  <a:pt x="228600" y="7978140"/>
                                </a:lnTo>
                                <a:lnTo>
                                  <a:pt x="228600" y="6496812"/>
                                </a:lnTo>
                                <a:lnTo>
                                  <a:pt x="2441448" y="6496812"/>
                                </a:lnTo>
                                <a:lnTo>
                                  <a:pt x="2441448" y="3182112"/>
                                </a:lnTo>
                                <a:lnTo>
                                  <a:pt x="228600" y="3182112"/>
                                </a:lnTo>
                                <a:lnTo>
                                  <a:pt x="228600" y="237744"/>
                                </a:lnTo>
                                <a:lnTo>
                                  <a:pt x="7772400" y="237744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14pt;margin-top:0pt;width:612pt;height:628.2pt;mso-position-horizontal-relative:page;mso-position-vertical-relative:page;z-index:-15764992" id="docshapegroup2" coordorigin="0,0" coordsize="12240,12564">
                <v:shape style="position:absolute;left:380;top:374;width:11500;height:4637" type="#_x0000_t75" id="docshape3" stroked="false">
                  <v:imagedata r:id="rId5" o:title=""/>
                </v:shape>
                <v:shape style="position:absolute;left:0;top:0;width:7835;height:8212" id="docshape4" coordorigin="0,0" coordsize="7835,8212" path="m7834,0l3243,0,0,3665,0,7708,569,8211,7834,0xe" filled="true" fillcolor="#00aeef" stroked="false">
                  <v:path arrowok="t"/>
                  <v:fill opacity="52428f" type="solid"/>
                </v:shape>
                <v:shape style="position:absolute;left:0;top:0;width:12240;height:12564" id="docshape5" coordorigin="0,0" coordsize="12240,12564" path="m12240,0l360,0,0,0,0,374,0,5011,0,10231,0,12564,360,12564,360,10231,3845,10231,3845,5011,360,5011,360,374,12240,374,12240,0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5376368</wp:posOffset>
                </wp:positionH>
                <wp:positionV relativeFrom="page">
                  <wp:posOffset>7515792</wp:posOffset>
                </wp:positionV>
                <wp:extent cx="2396490" cy="253365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396490" cy="2533650"/>
                          <a:chExt cx="2396490" cy="25336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138729" y="0"/>
                            <a:ext cx="1257300" cy="2533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2533650">
                                <a:moveTo>
                                  <a:pt x="1257301" y="0"/>
                                </a:moveTo>
                                <a:lnTo>
                                  <a:pt x="0" y="1421121"/>
                                </a:lnTo>
                                <a:lnTo>
                                  <a:pt x="1257301" y="2533486"/>
                                </a:lnTo>
                                <a:lnTo>
                                  <a:pt x="1257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3349"/>
                            <a:ext cx="1212916" cy="741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3.33609pt;margin-top:591.794678pt;width:188.7pt;height:199.5pt;mso-position-horizontal-relative:page;mso-position-vertical-relative:page;z-index:15729152" id="docshapegroup6" coordorigin="8467,11836" coordsize="3774,3990">
                <v:shape style="position:absolute;left:10260;top:11835;width:1980;height:3990" id="docshape7" coordorigin="10260,11836" coordsize="1980,3990" path="m12240,11836l10260,14074,12240,15826,12240,11836xe" filled="true" fillcolor="#00aeef" stroked="false">
                  <v:path arrowok="t"/>
                  <v:fill opacity="52428f" type="solid"/>
                </v:shape>
                <v:shape style="position:absolute;left:8466;top:13431;width:1911;height:1169" type="#_x0000_t75" id="docshape8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49"/>
        <w:rPr>
          <w:sz w:val="20"/>
        </w:rPr>
      </w:pPr>
    </w:p>
    <w:p>
      <w:pPr>
        <w:spacing w:line="249" w:lineRule="auto" w:before="0"/>
        <w:ind w:left="1136" w:right="872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spacing w:before="122"/>
        <w:ind w:left="1138" w:right="0" w:firstLine="0"/>
        <w:jc w:val="left"/>
        <w:rPr>
          <w:sz w:val="20"/>
        </w:rPr>
      </w:pPr>
      <w:r>
        <w:rPr>
          <w:sz w:val="20"/>
        </w:rPr>
        <w:t>DRE</w:t>
      </w:r>
      <w:r>
        <w:rPr>
          <w:spacing w:val="-4"/>
          <w:sz w:val="20"/>
        </w:rPr>
        <w:t> </w:t>
      </w:r>
      <w:r>
        <w:rPr>
          <w:sz w:val="20"/>
        </w:rPr>
        <w:t>LIC#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01474985</w:t>
      </w:r>
    </w:p>
    <w:p>
      <w:pPr>
        <w:spacing w:before="10"/>
        <w:ind w:left="1138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1138" w:right="5880" w:firstLine="0"/>
        <w:jc w:val="left"/>
        <w:rPr>
          <w:sz w:val="20"/>
        </w:rPr>
      </w:pP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sectPr>
      <w:type w:val="continuous"/>
      <w:pgSz w:w="12240" w:h="15840"/>
      <w:pgMar w:top="0" w:bottom="0" w:left="2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82" w:lineRule="exact"/>
    </w:pPr>
    <w:rPr>
      <w:rFonts w:ascii="Arial" w:hAnsi="Arial" w:eastAsia="Arial" w:cs="Arial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christy@christyscarealty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2024-09-08T22:58:53Z</dcterms:created>
  <dcterms:modified xsi:type="dcterms:W3CDTF">2024-09-08T22:58:53Z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