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3383279"/>
                <wp:effectExtent l="0" t="0" r="0" b="762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3383279"/>
                          <a:chExt cx="7315200" cy="3383279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3383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996948"/>
                            <a:ext cx="7315200" cy="1002665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257"/>
                                <w:ind w:left="3357" w:right="0" w:hanging="2208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What will my homebuyer costs be and how much cash will I need?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66.4pt;mso-position-horizontal-relative:char;mso-position-vertical-relative:line" id="docshapegroup1" coordorigin="0,0" coordsize="11520,5328">
                <v:shape style="position:absolute;left:0;top:0;width:11520;height:5328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3144;width:11520;height:1579" type="#_x0000_t202" id="docshape3" filled="true" fillcolor="#d2232a" stroked="false">
                  <v:textbox inset="0,0,0,0">
                    <w:txbxContent>
                      <w:p>
                        <w:pPr>
                          <w:spacing w:line="249" w:lineRule="auto" w:before="257"/>
                          <w:ind w:left="3357" w:right="0" w:hanging="2208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What will my homebuyer costs be and how much cash will I need?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1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380" w:bottom="0" w:left="260" w:right="260"/>
        </w:sectPr>
      </w:pPr>
    </w:p>
    <w:p>
      <w:pPr>
        <w:pStyle w:val="BodyText"/>
        <w:spacing w:line="249" w:lineRule="auto" w:before="94"/>
        <w:ind w:left="12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457200</wp:posOffset>
                </wp:positionH>
                <wp:positionV relativeFrom="paragraph">
                  <wp:posOffset>19782</wp:posOffset>
                </wp:positionV>
                <wp:extent cx="394970" cy="41783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9497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58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9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7"/>
                                <w:sz w:val="59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557665pt;width:31.1pt;height:32.9pt;mso-position-horizontal-relative:page;mso-position-vertical-relative:paragraph;z-index:-15764480" type="#_x0000_t202" id="docshape4" filled="false" stroked="false">
                <v:textbox inset="0,0,0,0">
                  <w:txbxContent>
                    <w:p>
                      <w:pPr>
                        <w:spacing w:line="658" w:lineRule="exact" w:before="0"/>
                        <w:ind w:left="0" w:right="0" w:firstLine="0"/>
                        <w:jc w:val="left"/>
                        <w:rPr>
                          <w:b/>
                          <w:sz w:val="59"/>
                        </w:rPr>
                      </w:pPr>
                      <w:r>
                        <w:rPr>
                          <w:b/>
                          <w:color w:val="D2232A"/>
                          <w:spacing w:val="-7"/>
                          <w:sz w:val="59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determine</w:t>
      </w:r>
      <w:r>
        <w:rPr>
          <w:color w:val="231F20"/>
          <w:spacing w:val="40"/>
        </w:rPr>
        <w:t> </w:t>
      </w:r>
      <w:r>
        <w:rPr>
          <w:color w:val="231F20"/>
        </w:rPr>
        <w:t>how</w:t>
      </w:r>
      <w:r>
        <w:rPr>
          <w:color w:val="231F20"/>
          <w:spacing w:val="40"/>
        </w:rPr>
        <w:t> </w:t>
      </w:r>
      <w:r>
        <w:rPr>
          <w:color w:val="231F20"/>
        </w:rPr>
        <w:t>much</w:t>
      </w:r>
      <w:r>
        <w:rPr>
          <w:color w:val="231F20"/>
          <w:spacing w:val="40"/>
        </w:rPr>
        <w:t> </w:t>
      </w:r>
      <w:r>
        <w:rPr>
          <w:color w:val="231F20"/>
        </w:rPr>
        <w:t>cash-on-hand</w:t>
      </w:r>
      <w:r>
        <w:rPr>
          <w:color w:val="231F20"/>
          <w:spacing w:val="40"/>
        </w:rPr>
        <w:t> </w:t>
      </w:r>
      <w:r>
        <w:rPr>
          <w:color w:val="231F20"/>
        </w:rPr>
        <w:t>you will</w:t>
      </w:r>
      <w:r>
        <w:rPr>
          <w:color w:val="231F20"/>
          <w:spacing w:val="15"/>
        </w:rPr>
        <w:t> </w:t>
      </w:r>
      <w:r>
        <w:rPr>
          <w:color w:val="231F20"/>
        </w:rPr>
        <w:t>need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buy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home,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trip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couple</w:t>
      </w:r>
    </w:p>
    <w:p>
      <w:pPr>
        <w:pStyle w:val="BodyText"/>
        <w:spacing w:line="249" w:lineRule="auto" w:before="1"/>
        <w:ind w:left="459"/>
        <w:jc w:val="both"/>
      </w:pPr>
      <w:r>
        <w:rPr>
          <w:color w:val="231F20"/>
        </w:rPr>
        <w:t>of mortgage lenders is necessary. Your visit with the lenders helps you determine: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182" w:after="0"/>
        <w:ind w:left="999" w:right="0" w:hanging="270"/>
        <w:jc w:val="both"/>
        <w:rPr>
          <w:sz w:val="22"/>
        </w:rPr>
      </w:pPr>
      <w:r>
        <w:rPr>
          <w:color w:val="231F20"/>
          <w:sz w:val="22"/>
        </w:rPr>
        <w:t>the maximum dollar amount of </w:t>
      </w:r>
      <w:r>
        <w:rPr>
          <w:color w:val="231F20"/>
          <w:sz w:val="22"/>
        </w:rPr>
        <w:t>purchase-assist, fixed rate mortgage (FRM) funds you are pre- </w:t>
      </w:r>
      <w:r>
        <w:rPr>
          <w:color w:val="231F20"/>
          <w:spacing w:val="-2"/>
          <w:sz w:val="22"/>
        </w:rPr>
        <w:t>approved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to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borrow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for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the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purchase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of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2"/>
          <w:sz w:val="22"/>
        </w:rPr>
        <w:t>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property </w:t>
      </w:r>
      <w:r>
        <w:rPr>
          <w:color w:val="231F20"/>
          <w:sz w:val="22"/>
        </w:rPr>
        <w:t>that qualifies as security for the mortgage; and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184" w:after="0"/>
        <w:ind w:left="999" w:right="1" w:hanging="270"/>
        <w:jc w:val="both"/>
        <w:rPr>
          <w:sz w:val="22"/>
        </w:rPr>
      </w:pPr>
      <w:r>
        <w:rPr>
          <w:color w:val="231F20"/>
          <w:sz w:val="22"/>
        </w:rPr>
        <w:t>the lender’s </w:t>
      </w:r>
      <w:r>
        <w:rPr>
          <w:i/>
          <w:color w:val="231F20"/>
          <w:sz w:val="22"/>
        </w:rPr>
        <w:t>loan estimate </w:t>
      </w:r>
      <w:r>
        <w:rPr>
          <w:color w:val="231F20"/>
          <w:sz w:val="22"/>
        </w:rPr>
        <w:t>of the dollar amount of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all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costs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you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will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incur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obtain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maximum FRM you qualify to borrow.</w:t>
      </w:r>
    </w:p>
    <w:p>
      <w:pPr>
        <w:pStyle w:val="BodyText"/>
        <w:spacing w:line="249" w:lineRule="auto" w:before="182"/>
        <w:ind w:left="459" w:right="1"/>
        <w:jc w:val="both"/>
      </w:pPr>
      <w:r>
        <w:rPr>
          <w:color w:val="231F20"/>
        </w:rPr>
        <w:t>The lender’s </w:t>
      </w:r>
      <w:r>
        <w:rPr>
          <w:b/>
          <w:color w:val="231F20"/>
        </w:rPr>
        <w:t>Loan Estimate</w:t>
      </w:r>
      <w:r>
        <w:rPr>
          <w:color w:val="231F20"/>
        </w:rPr>
        <w:t>, prepared on a uniform disclosure form for comparative shopping, includes your projected: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83" w:after="0"/>
        <w:ind w:left="998" w:right="0" w:hanging="269"/>
        <w:jc w:val="left"/>
        <w:rPr>
          <w:sz w:val="22"/>
        </w:rPr>
      </w:pPr>
      <w:r>
        <w:rPr>
          <w:color w:val="231F20"/>
          <w:sz w:val="22"/>
        </w:rPr>
        <w:t>monthly </w:t>
      </w:r>
      <w:r>
        <w:rPr>
          <w:color w:val="231F20"/>
          <w:spacing w:val="-2"/>
          <w:sz w:val="22"/>
        </w:rPr>
        <w:t>payments;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91" w:after="0"/>
        <w:ind w:left="998" w:right="0" w:hanging="269"/>
        <w:jc w:val="left"/>
        <w:rPr>
          <w:sz w:val="22"/>
        </w:rPr>
      </w:pPr>
      <w:r>
        <w:rPr>
          <w:color w:val="231F20"/>
          <w:sz w:val="22"/>
        </w:rPr>
        <w:t>taxes,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insurance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assessments;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91" w:after="0"/>
        <w:ind w:left="998" w:right="0" w:hanging="269"/>
        <w:jc w:val="left"/>
        <w:rPr>
          <w:sz w:val="22"/>
        </w:rPr>
      </w:pPr>
      <w:r>
        <w:rPr>
          <w:color w:val="231F20"/>
          <w:sz w:val="22"/>
        </w:rPr>
        <w:t>closing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costs;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5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91" w:after="0"/>
        <w:ind w:left="998" w:right="0" w:hanging="269"/>
        <w:jc w:val="left"/>
        <w:rPr>
          <w:sz w:val="22"/>
        </w:rPr>
      </w:pPr>
      <w:r>
        <w:rPr>
          <w:color w:val="231F20"/>
          <w:sz w:val="22"/>
        </w:rPr>
        <w:t>total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cash-on-hand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needed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close.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line="249" w:lineRule="auto" w:before="1"/>
        <w:ind w:left="1136" w:right="2664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1138" w:right="0" w:firstLine="0"/>
        <w:jc w:val="left"/>
        <w:rPr>
          <w:sz w:val="20"/>
        </w:rPr>
      </w:pP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113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1138" w:right="0" w:firstLine="0"/>
        <w:jc w:val="left"/>
        <w:rPr>
          <w:sz w:val="20"/>
        </w:rPr>
      </w:pPr>
      <w:hyperlink r:id="rId6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p>
      <w:pPr>
        <w:pStyle w:val="BodyText"/>
        <w:spacing w:line="249" w:lineRule="auto" w:before="93"/>
        <w:ind w:left="318" w:right="457" w:hanging="1"/>
        <w:jc w:val="both"/>
      </w:pPr>
      <w:r>
        <w:rPr/>
        <w:br w:type="column"/>
      </w:r>
      <w:r>
        <w:rPr>
          <w:color w:val="231F20"/>
        </w:rPr>
        <w:t>During the conferences with lenders, your agent inquires</w:t>
      </w:r>
      <w:r>
        <w:rPr>
          <w:color w:val="231F20"/>
          <w:spacing w:val="-16"/>
        </w:rPr>
        <w:t> </w:t>
      </w:r>
      <w:r>
        <w:rPr>
          <w:color w:val="231F20"/>
        </w:rPr>
        <w:t>about</w:t>
      </w:r>
      <w:r>
        <w:rPr>
          <w:color w:val="231F20"/>
          <w:spacing w:val="-15"/>
        </w:rPr>
        <w:t> </w:t>
      </w:r>
      <w:r>
        <w:rPr>
          <w:color w:val="231F20"/>
        </w:rPr>
        <w:t>any</w:t>
      </w:r>
      <w:r>
        <w:rPr>
          <w:color w:val="231F20"/>
          <w:spacing w:val="-15"/>
        </w:rPr>
        <w:t> </w:t>
      </w:r>
      <w:r>
        <w:rPr>
          <w:color w:val="231F20"/>
        </w:rPr>
        <w:t>restrictions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lender</w:t>
      </w:r>
      <w:r>
        <w:rPr>
          <w:color w:val="231F20"/>
          <w:spacing w:val="-15"/>
        </w:rPr>
        <w:t> </w:t>
      </w:r>
      <w:r>
        <w:rPr>
          <w:color w:val="231F20"/>
        </w:rPr>
        <w:t>may</w:t>
      </w:r>
      <w:r>
        <w:rPr>
          <w:color w:val="231F20"/>
          <w:spacing w:val="-15"/>
        </w:rPr>
        <w:t> </w:t>
      </w:r>
      <w:r>
        <w:rPr>
          <w:color w:val="231F20"/>
        </w:rPr>
        <w:t>place</w:t>
      </w:r>
      <w:r>
        <w:rPr>
          <w:color w:val="231F20"/>
          <w:spacing w:val="-16"/>
        </w:rPr>
        <w:t> </w:t>
      </w:r>
      <w:r>
        <w:rPr>
          <w:color w:val="231F20"/>
        </w:rPr>
        <w:t>on their different mortgage commitments. For example,</w:t>
      </w:r>
      <w:r>
        <w:rPr>
          <w:color w:val="231F20"/>
          <w:spacing w:val="40"/>
        </w:rPr>
        <w:t> </w:t>
      </w:r>
      <w:r>
        <w:rPr>
          <w:color w:val="231F20"/>
        </w:rPr>
        <w:t>a loan-to-value ratio (LTV) may require a minimum down payment of up to 20% of the price paid for a property. Down payments smaller than 20% require mortgage insurance, which is an additional expense to the monthly payment.</w:t>
      </w:r>
    </w:p>
    <w:p>
      <w:pPr>
        <w:pStyle w:val="BodyText"/>
        <w:spacing w:line="249" w:lineRule="auto" w:before="187"/>
        <w:ind w:left="318" w:right="457"/>
        <w:jc w:val="both"/>
      </w:pPr>
      <w:r>
        <w:rPr>
          <w:color w:val="231F20"/>
        </w:rPr>
        <w:t>Also, the lender may place limitations on the seller’s payment of your nonrecurring transactional and financing costs, such as permitting the seller to pay all,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limited</w:t>
      </w:r>
      <w:r>
        <w:rPr>
          <w:color w:val="231F20"/>
          <w:spacing w:val="-6"/>
        </w:rPr>
        <w:t> </w:t>
      </w:r>
      <w:r>
        <w:rPr>
          <w:color w:val="231F20"/>
        </w:rPr>
        <w:t>portion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none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costs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acquisition and funding.</w:t>
      </w:r>
    </w:p>
    <w:p>
      <w:pPr>
        <w:pStyle w:val="BodyText"/>
        <w:spacing w:line="249" w:lineRule="auto" w:before="185"/>
        <w:ind w:left="318" w:right="457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2410426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With knowledge of any lender restrictions, your agent is</w:t>
      </w:r>
      <w:r>
        <w:rPr>
          <w:color w:val="231F20"/>
          <w:spacing w:val="-2"/>
        </w:rPr>
        <w:t> </w:t>
      </w:r>
      <w:r>
        <w:rPr>
          <w:color w:val="231F20"/>
        </w:rPr>
        <w:t>able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structure</w:t>
      </w:r>
      <w:r>
        <w:rPr>
          <w:color w:val="231F20"/>
          <w:spacing w:val="-2"/>
        </w:rPr>
        <w:t> </w:t>
      </w:r>
      <w:r>
        <w:rPr>
          <w:color w:val="231F20"/>
        </w:rPr>
        <w:t>purchase</w:t>
      </w:r>
      <w:r>
        <w:rPr>
          <w:color w:val="231F20"/>
          <w:spacing w:val="-2"/>
        </w:rPr>
        <w:t> </w:t>
      </w:r>
      <w:r>
        <w:rPr>
          <w:color w:val="231F20"/>
        </w:rPr>
        <w:t>agreement</w:t>
      </w:r>
      <w:r>
        <w:rPr>
          <w:color w:val="231F20"/>
          <w:spacing w:val="-2"/>
        </w:rPr>
        <w:t> </w:t>
      </w:r>
      <w:r>
        <w:rPr>
          <w:color w:val="231F20"/>
        </w:rPr>
        <w:t>offers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shift large amounts of transactional and financing charges to the seller. Thus, the charges may be paid by the </w:t>
      </w:r>
      <w:r>
        <w:rPr>
          <w:color w:val="231F20"/>
          <w:spacing w:val="-2"/>
        </w:rPr>
        <w:t>seller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funds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seller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receives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you,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paid </w:t>
      </w:r>
      <w:r>
        <w:rPr>
          <w:color w:val="231F20"/>
        </w:rPr>
        <w:t>by you separately, which reduce the funds you have available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property.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shifting</w:t>
      </w:r>
      <w:r>
        <w:rPr>
          <w:color w:val="231F20"/>
          <w:spacing w:val="-4"/>
        </w:rPr>
        <w:t> </w:t>
      </w:r>
      <w:r>
        <w:rPr>
          <w:color w:val="231F20"/>
        </w:rPr>
        <w:t>acquisition</w:t>
      </w:r>
      <w:r>
        <w:rPr>
          <w:color w:val="231F20"/>
          <w:spacing w:val="-4"/>
        </w:rPr>
        <w:t> </w:t>
      </w:r>
      <w:r>
        <w:rPr>
          <w:color w:val="231F20"/>
        </w:rPr>
        <w:t>costs to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seller,</w:t>
      </w:r>
      <w:r>
        <w:rPr>
          <w:color w:val="231F20"/>
          <w:spacing w:val="-14"/>
        </w:rPr>
        <w:t> </w:t>
      </w:r>
      <w:r>
        <w:rPr>
          <w:color w:val="231F20"/>
        </w:rPr>
        <w:t>you</w:t>
      </w:r>
      <w:r>
        <w:rPr>
          <w:color w:val="231F20"/>
          <w:spacing w:val="-14"/>
        </w:rPr>
        <w:t> </w:t>
      </w:r>
      <w:r>
        <w:rPr>
          <w:color w:val="231F20"/>
        </w:rPr>
        <w:t>can</w:t>
      </w:r>
      <w:r>
        <w:rPr>
          <w:color w:val="231F20"/>
          <w:spacing w:val="-14"/>
        </w:rPr>
        <w:t> </w:t>
      </w:r>
      <w:r>
        <w:rPr>
          <w:color w:val="231F20"/>
        </w:rPr>
        <w:t>acquire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more</w:t>
      </w:r>
      <w:r>
        <w:rPr>
          <w:color w:val="231F20"/>
          <w:spacing w:val="-14"/>
        </w:rPr>
        <w:t> </w:t>
      </w:r>
      <w:r>
        <w:rPr>
          <w:color w:val="231F20"/>
        </w:rPr>
        <w:t>valuable</w:t>
      </w:r>
      <w:r>
        <w:rPr>
          <w:color w:val="231F20"/>
          <w:spacing w:val="-14"/>
        </w:rPr>
        <w:t> </w:t>
      </w:r>
      <w:r>
        <w:rPr>
          <w:color w:val="231F20"/>
        </w:rPr>
        <w:t>property with more amenities or make a larger down payment and avoid the cost of mortgage insurance since you will have more funds available to buy a home.</w:t>
      </w:r>
    </w:p>
    <w:p>
      <w:pPr>
        <w:spacing w:after="0" w:line="249" w:lineRule="auto"/>
        <w:jc w:val="both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315200" cy="22860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315200" cy="228600"/>
                          <a:chExt cx="7315200" cy="2286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315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22860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7315200" y="228600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18pt;mso-position-horizontal-relative:char;mso-position-vertical-relative:line" id="docshapegroup5" coordorigin="0,0" coordsize="11520,360">
                <v:rect style="position:absolute;left:0;top:0;width:11520;height:360" id="docshape6" filled="true" fillcolor="#d2232a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4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58" w:lineRule="exact"/>
    </w:pPr>
    <w:rPr>
      <w:rFonts w:ascii="Arial" w:hAnsi="Arial" w:eastAsia="Arial" w:cs="Arial"/>
      <w:b/>
      <w:bCs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1"/>
      <w:ind w:left="998" w:hanging="2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hristy@christyscarealty.com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2024-09-08T23:22:33Z</dcterms:created>
  <dcterms:modified xsi:type="dcterms:W3CDTF">2024-09-08T23:22:33Z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