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7315200" cy="3584575"/>
                <wp:effectExtent l="0" t="0" r="0" b="6350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7315200" cy="3584575"/>
                          <a:chExt cx="7315200" cy="3584575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0" cy="35844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0" y="2542032"/>
                            <a:ext cx="7315200" cy="658495"/>
                          </a:xfrm>
                          <a:prstGeom prst="rect">
                            <a:avLst/>
                          </a:prstGeom>
                          <a:solidFill>
                            <a:srgbClr val="D2232A">
                              <a:alpha val="79998"/>
                            </a:srgbClr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207"/>
                                <w:ind w:left="996" w:right="0" w:firstLine="0"/>
                                <w:jc w:val="left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5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w w:val="110"/>
                                  <w:sz w:val="56"/>
                                </w:rPr>
                                <w:t>What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pacing w:val="-24"/>
                                  <w:w w:val="110"/>
                                  <w:sz w:val="56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w w:val="110"/>
                                  <w:sz w:val="56"/>
                                </w:rPr>
                                <w:t>is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pacing w:val="-23"/>
                                  <w:w w:val="110"/>
                                  <w:sz w:val="56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w w:val="110"/>
                                  <w:sz w:val="56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pacing w:val="-23"/>
                                  <w:w w:val="110"/>
                                  <w:sz w:val="56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w w:val="110"/>
                                  <w:sz w:val="56"/>
                                </w:rPr>
                                <w:t>buyer’s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pacing w:val="-23"/>
                                  <w:w w:val="110"/>
                                  <w:sz w:val="56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w w:val="110"/>
                                  <w:sz w:val="56"/>
                                </w:rPr>
                                <w:t>listing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pacing w:val="-23"/>
                                  <w:w w:val="110"/>
                                  <w:sz w:val="56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pacing w:val="-2"/>
                                  <w:w w:val="110"/>
                                  <w:sz w:val="56"/>
                                </w:rPr>
                                <w:t>agreement?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6pt;height:282.25pt;mso-position-horizontal-relative:char;mso-position-vertical-relative:line" id="docshapegroup3" coordorigin="0,0" coordsize="11520,5645">
                <v:shape style="position:absolute;left:0;top:0;width:11520;height:5645" type="#_x0000_t75" id="docshape4" stroked="false">
                  <v:imagedata r:id="rId6" o:title=""/>
                </v:shape>
                <v:shape style="position:absolute;left:0;top:4003;width:11520;height:1037" type="#_x0000_t202" id="docshape5" filled="true" fillcolor="#d2232a" stroked="false">
                  <v:textbox inset="0,0,0,0">
                    <w:txbxContent>
                      <w:p>
                        <w:pPr>
                          <w:spacing w:before="207"/>
                          <w:ind w:left="996" w:right="0" w:firstLine="0"/>
                          <w:jc w:val="left"/>
                          <w:rPr>
                            <w:rFonts w:ascii="Times New Roman" w:hAnsi="Times New Roman"/>
                            <w:b/>
                            <w:color w:val="000000"/>
                            <w:sz w:val="5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FFFFFF"/>
                            <w:w w:val="110"/>
                            <w:sz w:val="56"/>
                          </w:rPr>
                          <w:t>What</w:t>
                        </w:r>
                        <w:r>
                          <w:rPr>
                            <w:rFonts w:ascii="Times New Roman" w:hAnsi="Times New Roman"/>
                            <w:b/>
                            <w:color w:val="FFFFFF"/>
                            <w:spacing w:val="-24"/>
                            <w:w w:val="110"/>
                            <w:sz w:val="5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color w:val="FFFFFF"/>
                            <w:w w:val="110"/>
                            <w:sz w:val="56"/>
                          </w:rPr>
                          <w:t>is</w:t>
                        </w:r>
                        <w:r>
                          <w:rPr>
                            <w:rFonts w:ascii="Times New Roman" w:hAnsi="Times New Roman"/>
                            <w:b/>
                            <w:color w:val="FFFFFF"/>
                            <w:spacing w:val="-23"/>
                            <w:w w:val="110"/>
                            <w:sz w:val="5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color w:val="FFFFFF"/>
                            <w:w w:val="110"/>
                            <w:sz w:val="56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b/>
                            <w:color w:val="FFFFFF"/>
                            <w:spacing w:val="-23"/>
                            <w:w w:val="110"/>
                            <w:sz w:val="5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color w:val="FFFFFF"/>
                            <w:w w:val="110"/>
                            <w:sz w:val="56"/>
                          </w:rPr>
                          <w:t>buyer’s</w:t>
                        </w:r>
                        <w:r>
                          <w:rPr>
                            <w:rFonts w:ascii="Times New Roman" w:hAnsi="Times New Roman"/>
                            <w:b/>
                            <w:color w:val="FFFFFF"/>
                            <w:spacing w:val="-23"/>
                            <w:w w:val="110"/>
                            <w:sz w:val="5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color w:val="FFFFFF"/>
                            <w:w w:val="110"/>
                            <w:sz w:val="56"/>
                          </w:rPr>
                          <w:t>listing</w:t>
                        </w:r>
                        <w:r>
                          <w:rPr>
                            <w:rFonts w:ascii="Times New Roman" w:hAnsi="Times New Roman"/>
                            <w:b/>
                            <w:color w:val="FFFFFF"/>
                            <w:spacing w:val="-23"/>
                            <w:w w:val="110"/>
                            <w:sz w:val="5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color w:val="FFFFFF"/>
                            <w:spacing w:val="-2"/>
                            <w:w w:val="110"/>
                            <w:sz w:val="56"/>
                          </w:rPr>
                          <w:t>agreement?</w:t>
                        </w:r>
                      </w:p>
                    </w:txbxContent>
                  </v:textbox>
                  <v:fill opacity="52428f" typ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212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footerReference w:type="default" r:id="rId5"/>
          <w:type w:val="continuous"/>
          <w:pgSz w:w="12240" w:h="15840"/>
          <w:pgMar w:header="0" w:footer="1729" w:top="380" w:bottom="1920" w:left="260" w:right="260"/>
          <w:pgNumType w:start="1"/>
        </w:sectPr>
      </w:pPr>
    </w:p>
    <w:p>
      <w:pPr>
        <w:pStyle w:val="BodyText"/>
        <w:spacing w:line="249" w:lineRule="auto" w:before="93"/>
        <w:ind w:left="124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3536">
                <wp:simplePos x="0" y="0"/>
                <wp:positionH relativeFrom="page">
                  <wp:posOffset>457200</wp:posOffset>
                </wp:positionH>
                <wp:positionV relativeFrom="paragraph">
                  <wp:posOffset>19655</wp:posOffset>
                </wp:positionV>
                <wp:extent cx="394970" cy="417830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39497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658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59"/>
                              </w:rPr>
                            </w:pPr>
                            <w:r>
                              <w:rPr>
                                <w:b/>
                                <w:color w:val="D2232A"/>
                                <w:spacing w:val="-7"/>
                                <w:sz w:val="59"/>
                              </w:rPr>
                              <w:t>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.547665pt;width:31.1pt;height:32.9pt;mso-position-horizontal-relative:page;mso-position-vertical-relative:paragraph;z-index:-15762944" type="#_x0000_t202" id="docshape6" filled="false" stroked="false">
                <v:textbox inset="0,0,0,0">
                  <w:txbxContent>
                    <w:p>
                      <w:pPr>
                        <w:spacing w:line="658" w:lineRule="exact" w:before="0"/>
                        <w:ind w:left="0" w:right="0" w:firstLine="0"/>
                        <w:jc w:val="left"/>
                        <w:rPr>
                          <w:b/>
                          <w:sz w:val="59"/>
                        </w:rPr>
                      </w:pPr>
                      <w:r>
                        <w:rPr>
                          <w:b/>
                          <w:color w:val="D2232A"/>
                          <w:spacing w:val="-7"/>
                          <w:sz w:val="59"/>
                        </w:rPr>
                        <w:t>A: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It’s good practice for the buyer and seller to each</w:t>
      </w:r>
      <w:r>
        <w:rPr>
          <w:spacing w:val="40"/>
        </w:rPr>
        <w:t> </w:t>
      </w:r>
      <w:r>
        <w:rPr/>
        <w:t>retain</w:t>
      </w:r>
      <w:r>
        <w:rPr>
          <w:spacing w:val="43"/>
        </w:rPr>
        <w:t> </w:t>
      </w:r>
      <w:r>
        <w:rPr/>
        <w:t>their</w:t>
      </w:r>
      <w:r>
        <w:rPr>
          <w:spacing w:val="42"/>
        </w:rPr>
        <w:t> </w:t>
      </w:r>
      <w:r>
        <w:rPr/>
        <w:t>own</w:t>
      </w:r>
      <w:r>
        <w:rPr>
          <w:spacing w:val="43"/>
        </w:rPr>
        <w:t> </w:t>
      </w:r>
      <w:r>
        <w:rPr/>
        <w:t>agent</w:t>
      </w:r>
      <w:r>
        <w:rPr>
          <w:spacing w:val="43"/>
        </w:rPr>
        <w:t> </w:t>
      </w:r>
      <w:r>
        <w:rPr/>
        <w:t>to</w:t>
      </w:r>
      <w:r>
        <w:rPr>
          <w:spacing w:val="42"/>
        </w:rPr>
        <w:t> </w:t>
      </w:r>
      <w:r>
        <w:rPr/>
        <w:t>act</w:t>
      </w:r>
      <w:r>
        <w:rPr>
          <w:spacing w:val="43"/>
        </w:rPr>
        <w:t> </w:t>
      </w:r>
      <w:r>
        <w:rPr/>
        <w:t>as</w:t>
      </w:r>
      <w:r>
        <w:rPr>
          <w:spacing w:val="43"/>
        </w:rPr>
        <w:t> </w:t>
      </w:r>
      <w:r>
        <w:rPr>
          <w:spacing w:val="-2"/>
        </w:rPr>
        <w:t>their</w:t>
      </w:r>
    </w:p>
    <w:p>
      <w:pPr>
        <w:pStyle w:val="BodyText"/>
        <w:spacing w:before="2"/>
        <w:ind w:left="459"/>
        <w:jc w:val="both"/>
      </w:pPr>
      <w:r>
        <w:rPr/>
        <w:t>exclusive</w:t>
      </w:r>
      <w:r>
        <w:rPr>
          <w:spacing w:val="-5"/>
        </w:rPr>
        <w:t> </w:t>
      </w:r>
      <w:r>
        <w:rPr/>
        <w:t>representative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real</w:t>
      </w:r>
      <w:r>
        <w:rPr>
          <w:spacing w:val="-5"/>
        </w:rPr>
        <w:t> </w:t>
      </w:r>
      <w:r>
        <w:rPr/>
        <w:t>estate</w:t>
      </w:r>
      <w:r>
        <w:rPr>
          <w:spacing w:val="-5"/>
        </w:rPr>
        <w:t> </w:t>
      </w:r>
      <w:r>
        <w:rPr>
          <w:spacing w:val="-2"/>
        </w:rPr>
        <w:t>transaction.</w:t>
      </w:r>
    </w:p>
    <w:p>
      <w:pPr>
        <w:pStyle w:val="BodyText"/>
        <w:spacing w:line="249" w:lineRule="auto" w:before="191"/>
        <w:ind w:left="459"/>
        <w:jc w:val="both"/>
      </w:pPr>
      <w:r>
        <w:rPr/>
        <w:t>In the context of a real estate sale, the buyer‘s and seller each separately employ a different licensed broker under a listing agreement. The listing agreement establishes that the broker will receive a fee in exchange for providing real estate services.</w:t>
      </w:r>
    </w:p>
    <w:p>
      <w:pPr>
        <w:pStyle w:val="BodyText"/>
        <w:spacing w:line="249" w:lineRule="auto" w:before="185"/>
        <w:ind w:left="459"/>
        <w:jc w:val="both"/>
      </w:pPr>
      <w:r>
        <w:rPr/>
        <w:t>The broker employs licensed individuals as their agents. Their agents then solicit sellers and </w:t>
      </w:r>
      <w:r>
        <w:rPr/>
        <w:t>buyers</w:t>
      </w:r>
      <w:r>
        <w:rPr>
          <w:spacing w:val="40"/>
        </w:rPr>
        <w:t> </w:t>
      </w:r>
      <w:r>
        <w:rPr/>
        <w:t>to employ the services of their broker, and in turn the </w:t>
      </w:r>
      <w:r>
        <w:rPr>
          <w:spacing w:val="-2"/>
        </w:rPr>
        <w:t>agent.</w:t>
      </w:r>
    </w:p>
    <w:p>
      <w:pPr>
        <w:pStyle w:val="BodyText"/>
        <w:spacing w:line="249" w:lineRule="auto" w:before="183"/>
        <w:ind w:left="459"/>
        <w:jc w:val="both"/>
      </w:pPr>
      <w:r>
        <w:rPr/>
        <w:t>On</w:t>
      </w:r>
      <w:r>
        <w:rPr>
          <w:spacing w:val="-10"/>
        </w:rPr>
        <w:t> </w:t>
      </w:r>
      <w:r>
        <w:rPr/>
        <w:t>entering</w:t>
      </w:r>
      <w:r>
        <w:rPr>
          <w:spacing w:val="-10"/>
        </w:rPr>
        <w:t> </w:t>
      </w:r>
      <w:r>
        <w:rPr/>
        <w:t>into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listing</w:t>
      </w:r>
      <w:r>
        <w:rPr>
          <w:spacing w:val="-10"/>
        </w:rPr>
        <w:t> </w:t>
      </w:r>
      <w:r>
        <w:rPr/>
        <w:t>agreement,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client</w:t>
      </w:r>
      <w:r>
        <w:rPr>
          <w:spacing w:val="-10"/>
        </w:rPr>
        <w:t> </w:t>
      </w:r>
      <w:r>
        <w:rPr/>
        <w:t>retains and authorizes their broker and agents to </w:t>
      </w:r>
      <w:r>
        <w:rPr/>
        <w:t>diligently and continuously perform the agreed-to real estate services on behalf of the client. The broker’s agent works</w:t>
      </w:r>
      <w:r>
        <w:rPr>
          <w:spacing w:val="-4"/>
        </w:rPr>
        <w:t> </w:t>
      </w:r>
      <w:r>
        <w:rPr/>
        <w:t>directly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client,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doing</w:t>
      </w:r>
      <w:r>
        <w:rPr>
          <w:spacing w:val="-4"/>
        </w:rPr>
        <w:t> </w:t>
      </w:r>
      <w:r>
        <w:rPr/>
        <w:t>so,</w:t>
      </w:r>
      <w:r>
        <w:rPr>
          <w:spacing w:val="-4"/>
        </w:rPr>
        <w:t> </w:t>
      </w:r>
      <w:r>
        <w:rPr/>
        <w:t>acts</w:t>
      </w:r>
      <w:r>
        <w:rPr>
          <w:spacing w:val="-4"/>
        </w:rPr>
        <w:t> </w:t>
      </w:r>
      <w:r>
        <w:rPr/>
        <w:t>on behalf of the broker.</w:t>
      </w:r>
    </w:p>
    <w:p>
      <w:pPr>
        <w:pStyle w:val="BodyText"/>
        <w:spacing w:line="249" w:lineRule="auto" w:before="93"/>
        <w:ind w:left="409" w:right="457"/>
        <w:jc w:val="both"/>
      </w:pPr>
      <w:r>
        <w:rPr/>
        <w:br w:type="column"/>
      </w:r>
      <w:r>
        <w:rPr/>
        <w:t>Regarding the broker fee, the seller of property typically</w:t>
      </w:r>
      <w:r>
        <w:rPr>
          <w:spacing w:val="-4"/>
        </w:rPr>
        <w:t> </w:t>
      </w:r>
      <w:r>
        <w:rPr/>
        <w:t>pays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real</w:t>
      </w:r>
      <w:r>
        <w:rPr>
          <w:spacing w:val="-4"/>
        </w:rPr>
        <w:t> </w:t>
      </w:r>
      <w:r>
        <w:rPr/>
        <w:t>estate</w:t>
      </w:r>
      <w:r>
        <w:rPr>
          <w:spacing w:val="-4"/>
        </w:rPr>
        <w:t> </w:t>
      </w:r>
      <w:r>
        <w:rPr/>
        <w:t>fees</w:t>
      </w:r>
      <w:r>
        <w:rPr>
          <w:spacing w:val="-4"/>
        </w:rPr>
        <w:t> </w:t>
      </w:r>
      <w:r>
        <w:rPr/>
        <w:t>due</w:t>
      </w:r>
      <w:r>
        <w:rPr>
          <w:spacing w:val="-4"/>
        </w:rPr>
        <w:t> </w:t>
      </w:r>
      <w:r>
        <w:rPr/>
        <w:t>all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brokers. The</w:t>
      </w:r>
      <w:r>
        <w:rPr>
          <w:spacing w:val="-1"/>
        </w:rPr>
        <w:t> </w:t>
      </w:r>
      <w:r>
        <w:rPr/>
        <w:t>fee</w:t>
      </w:r>
      <w:r>
        <w:rPr>
          <w:spacing w:val="-1"/>
        </w:rPr>
        <w:t> </w:t>
      </w:r>
      <w:r>
        <w:rPr/>
        <w:t>is disbursed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price</w:t>
      </w:r>
      <w:r>
        <w:rPr>
          <w:spacing w:val="-1"/>
        </w:rPr>
        <w:t> </w:t>
      </w:r>
      <w:r>
        <w:rPr/>
        <w:t>paid</w:t>
      </w:r>
      <w:r>
        <w:rPr>
          <w:spacing w:val="-1"/>
        </w:rPr>
        <w:t> </w:t>
      </w:r>
      <w:r>
        <w:rPr/>
        <w:t>by the</w:t>
      </w:r>
      <w:r>
        <w:rPr>
          <w:spacing w:val="-1"/>
        </w:rPr>
        <w:t> </w:t>
      </w:r>
      <w:r>
        <w:rPr/>
        <w:t>buyer in the sales transaction. On each broker’s receipt of their fee on a sales transaction, the brokers share</w:t>
      </w:r>
      <w:r>
        <w:rPr>
          <w:spacing w:val="40"/>
        </w:rPr>
        <w:t> </w:t>
      </w:r>
      <w:r>
        <w:rPr/>
        <w:t>the fee with their agent(s) who participated in the </w:t>
      </w:r>
      <w:r>
        <w:rPr>
          <w:spacing w:val="-2"/>
        </w:rPr>
        <w:t>transaction.</w:t>
      </w:r>
    </w:p>
    <w:p>
      <w:pPr>
        <w:pStyle w:val="BodyText"/>
        <w:spacing w:line="249" w:lineRule="auto" w:before="186"/>
        <w:ind w:left="409" w:right="457"/>
        <w:jc w:val="both"/>
      </w:pPr>
      <w:r>
        <w:rPr/>
        <w:t>When the buyer’s broker receives their fee from the seller as agreed on the sale, the buyer obligation under their employment agreement to ensure </w:t>
      </w:r>
      <w:r>
        <w:rPr/>
        <w:t>their broker is paid is satisfied. Thus, the buyer does not owe their broker a fee.</w:t>
      </w:r>
    </w:p>
    <w:p>
      <w:pPr>
        <w:pStyle w:val="BodyText"/>
        <w:spacing w:line="249" w:lineRule="auto" w:before="185"/>
        <w:ind w:left="409" w:right="457"/>
        <w:jc w:val="both"/>
      </w:pPr>
      <w:r>
        <w:rPr/>
        <w:t>Occasionally,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buyer’s</w:t>
      </w:r>
      <w:r>
        <w:rPr>
          <w:spacing w:val="-15"/>
        </w:rPr>
        <w:t> </w:t>
      </w:r>
      <w:r>
        <w:rPr/>
        <w:t>broker</w:t>
      </w:r>
      <w:r>
        <w:rPr>
          <w:spacing w:val="-16"/>
        </w:rPr>
        <w:t> </w:t>
      </w:r>
      <w:r>
        <w:rPr/>
        <w:t>structures</w:t>
      </w:r>
      <w:r>
        <w:rPr>
          <w:spacing w:val="-15"/>
        </w:rPr>
        <w:t> </w:t>
      </w:r>
      <w:r>
        <w:rPr/>
        <w:t>their</w:t>
      </w:r>
      <w:r>
        <w:rPr>
          <w:spacing w:val="-15"/>
        </w:rPr>
        <w:t> </w:t>
      </w:r>
      <w:r>
        <w:rPr/>
        <w:t>fee</w:t>
      </w:r>
      <w:r>
        <w:rPr>
          <w:spacing w:val="-15"/>
        </w:rPr>
        <w:t> </w:t>
      </w:r>
      <w:r>
        <w:rPr/>
        <w:t>to be paid by the buyer as part of their total acquisition costs and purchase price. Here, the buyer directly pays</w:t>
      </w:r>
      <w:r>
        <w:rPr>
          <w:spacing w:val="-8"/>
        </w:rPr>
        <w:t> </w:t>
      </w:r>
      <w:r>
        <w:rPr/>
        <w:t>their</w:t>
      </w:r>
      <w:r>
        <w:rPr>
          <w:spacing w:val="-8"/>
        </w:rPr>
        <w:t> </w:t>
      </w:r>
      <w:r>
        <w:rPr/>
        <w:t>broker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fee</w:t>
      </w:r>
      <w:r>
        <w:rPr>
          <w:spacing w:val="-8"/>
        </w:rPr>
        <w:t> </w:t>
      </w:r>
      <w:r>
        <w:rPr/>
        <w:t>as</w:t>
      </w:r>
      <w:r>
        <w:rPr>
          <w:spacing w:val="-8"/>
        </w:rPr>
        <w:t> </w:t>
      </w:r>
      <w:r>
        <w:rPr/>
        <w:t>agreed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their</w:t>
      </w:r>
      <w:r>
        <w:rPr>
          <w:spacing w:val="-8"/>
        </w:rPr>
        <w:t> </w:t>
      </w:r>
      <w:r>
        <w:rPr/>
        <w:t>employment agreement.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seller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paid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purchase</w:t>
      </w:r>
      <w:r>
        <w:rPr>
          <w:spacing w:val="-2"/>
        </w:rPr>
        <w:t> </w:t>
      </w:r>
      <w:r>
        <w:rPr/>
        <w:t>price</w:t>
      </w:r>
      <w:r>
        <w:rPr>
          <w:spacing w:val="-2"/>
        </w:rPr>
        <w:t> </w:t>
      </w:r>
      <w:r>
        <w:rPr/>
        <w:t>for conveyance of the property to the buyer and owes</w:t>
      </w:r>
      <w:r>
        <w:rPr>
          <w:spacing w:val="40"/>
        </w:rPr>
        <w:t> </w:t>
      </w:r>
      <w:r>
        <w:rPr/>
        <w:t>no fee to the buyer’s broker from the purchase price </w:t>
      </w:r>
      <w:r>
        <w:rPr>
          <w:spacing w:val="-2"/>
        </w:rPr>
        <w:t>received.</w:t>
      </w:r>
    </w:p>
    <w:p>
      <w:pPr>
        <w:spacing w:after="0" w:line="249" w:lineRule="auto"/>
        <w:jc w:val="both"/>
        <w:sectPr>
          <w:type w:val="continuous"/>
          <w:pgSz w:w="12240" w:h="15840"/>
          <w:pgMar w:header="0" w:footer="1729" w:top="380" w:bottom="1920" w:left="260" w:right="260"/>
          <w:cols w:num="2" w:equalWidth="0">
            <w:col w:w="5636" w:space="40"/>
            <w:col w:w="604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1"/>
        <w:rPr>
          <w:sz w:val="20"/>
        </w:rPr>
      </w:pPr>
    </w:p>
    <w:p>
      <w:pPr>
        <w:spacing w:line="249" w:lineRule="auto" w:before="0"/>
        <w:ind w:left="1136" w:right="8802" w:firstLine="0"/>
        <w:jc w:val="left"/>
        <w:rPr>
          <w:b/>
          <w:sz w:val="20"/>
        </w:rPr>
      </w:pPr>
      <w:r>
        <w:rPr>
          <w:b/>
          <w:sz w:val="20"/>
        </w:rPr>
        <w:t>Christy Dumlao Real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Estate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Broker</w:t>
      </w:r>
    </w:p>
    <w:sectPr>
      <w:type w:val="continuous"/>
      <w:pgSz w:w="12240" w:h="15840"/>
      <w:pgMar w:header="0" w:footer="1729" w:top="380" w:bottom="1920" w:left="26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53024">
              <wp:simplePos x="0" y="0"/>
              <wp:positionH relativeFrom="page">
                <wp:posOffset>228600</wp:posOffset>
              </wp:positionH>
              <wp:positionV relativeFrom="page">
                <wp:posOffset>9715500</wp:posOffset>
              </wp:positionV>
              <wp:extent cx="7315200" cy="22860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7315200" cy="2286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315200" h="228600">
                            <a:moveTo>
                              <a:pt x="7315200" y="0"/>
                            </a:moveTo>
                            <a:lnTo>
                              <a:pt x="0" y="0"/>
                            </a:lnTo>
                            <a:lnTo>
                              <a:pt x="0" y="228600"/>
                            </a:lnTo>
                            <a:lnTo>
                              <a:pt x="7315200" y="228600"/>
                            </a:lnTo>
                            <a:lnTo>
                              <a:pt x="7315200" y="0"/>
                            </a:lnTo>
                            <a:close/>
                          </a:path>
                        </a:pathLst>
                      </a:custGeom>
                      <a:solidFill>
                        <a:srgbClr val="D2232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8pt;margin-top:765pt;width:576pt;height:18pt;mso-position-horizontal-relative:page;mso-position-vertical-relative:page;z-index:-15763456" id="docshape1" filled="true" fillcolor="#d2232a" stroked="false">
              <v:fill type="solid"/>
              <w10:wrap type="none"/>
            </v:rect>
          </w:pict>
        </mc:Fallback>
      </mc:AlternateContent>
    </w:r>
    <w:r>
      <w:rPr/>
      <w:drawing>
        <wp:anchor distT="0" distB="0" distL="0" distR="0" allowOverlap="1" layoutInCell="1" locked="0" behindDoc="1" simplePos="0" relativeHeight="487553536">
          <wp:simplePos x="0" y="0"/>
          <wp:positionH relativeFrom="page">
            <wp:posOffset>5689014</wp:posOffset>
          </wp:positionH>
          <wp:positionV relativeFrom="page">
            <wp:posOffset>8849485</wp:posOffset>
          </wp:positionV>
          <wp:extent cx="600807" cy="692902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0807" cy="6929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54048">
              <wp:simplePos x="0" y="0"/>
              <wp:positionH relativeFrom="page">
                <wp:posOffset>875423</wp:posOffset>
              </wp:positionH>
              <wp:positionV relativeFrom="page">
                <wp:posOffset>8820725</wp:posOffset>
              </wp:positionV>
              <wp:extent cx="1671955" cy="62484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671955" cy="6248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DRE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LIC#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01474985</w:t>
                          </w:r>
                        </w:p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925-395-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0175</w:t>
                          </w:r>
                        </w:p>
                        <w:p>
                          <w:pPr>
                            <w:spacing w:line="249" w:lineRule="auto"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hyperlink r:id="rId2">
                            <w:r>
                              <w:rPr>
                                <w:spacing w:val="-2"/>
                                <w:sz w:val="20"/>
                              </w:rPr>
                              <w:t>christy@christyscarealty.com</w:t>
                            </w:r>
                          </w:hyperlink>
                          <w:r>
                            <w:rPr>
                              <w:spacing w:val="-2"/>
                              <w:sz w:val="20"/>
                            </w:rPr>
                            <w:t> christyscaliforniarealty.com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8.931pt;margin-top:694.545288pt;width:131.65pt;height:49.2pt;mso-position-horizontal-relative:page;mso-position-vertical-relative:page;z-index:-15762432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DRE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LIC#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01474985</w:t>
                    </w:r>
                  </w:p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925-395-</w:t>
                    </w:r>
                    <w:r>
                      <w:rPr>
                        <w:spacing w:val="-4"/>
                        <w:sz w:val="20"/>
                      </w:rPr>
                      <w:t>0175</w:t>
                    </w:r>
                  </w:p>
                  <w:p>
                    <w:pPr>
                      <w:spacing w:line="249" w:lineRule="auto"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hyperlink r:id="rId2">
                      <w:r>
                        <w:rPr>
                          <w:spacing w:val="-2"/>
                          <w:sz w:val="20"/>
                        </w:rPr>
                        <w:t>christy@christyscarealty.com</w:t>
                      </w:r>
                    </w:hyperlink>
                    <w:r>
                      <w:rPr>
                        <w:spacing w:val="-2"/>
                        <w:sz w:val="20"/>
                      </w:rPr>
                      <w:t> christyscaliforniarealty.com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658" w:lineRule="exact"/>
    </w:pPr>
    <w:rPr>
      <w:rFonts w:ascii="Arial" w:hAnsi="Arial" w:eastAsia="Arial" w:cs="Arial"/>
      <w:b/>
      <w:bCs/>
      <w:sz w:val="59"/>
      <w:szCs w:val="5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christy@christyscarealty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2024-09-08T23:58:04Z</dcterms:created>
  <dcterms:modified xsi:type="dcterms:W3CDTF">2024-09-08T23:58:04Z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2015-12-21T00:00:00Z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2024-09-08T00:00:00Z</vt:filetime>
  </property>
  <property fmtid="{D5CDD505-2E9C-101B-9397-08002B2CF9AE}" pid="5" name="Producer">
    <vt:lpwstr>Adobe LiveCycle Designer 11.0</vt:lpwstr>
  </property>
</Properties>
</file>