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2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804535" cy="2615565"/>
                <wp:effectExtent l="0" t="0" r="0" b="381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04535" cy="2615565"/>
                          <a:chExt cx="5804535" cy="261556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99" y="0"/>
                            <a:ext cx="4203771" cy="261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0461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4615" h="2615565">
                                <a:moveTo>
                                  <a:pt x="3904488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322971"/>
                                </a:lnTo>
                                <a:lnTo>
                                  <a:pt x="0" y="2615184"/>
                                </a:lnTo>
                                <a:lnTo>
                                  <a:pt x="1472184" y="2615184"/>
                                </a:lnTo>
                                <a:lnTo>
                                  <a:pt x="390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804535" cy="261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0" w:lineRule="auto" w:before="193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165" w:right="4735" w:firstLine="558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9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a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carryback sale?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7.05pt;height:205.95pt;mso-position-horizontal-relative:char;mso-position-vertical-relative:line" id="docshapegroup2" coordorigin="0,0" coordsize="9141,4119">
                <v:shape style="position:absolute;left:2520;top:0;width:6621;height:4119" type="#_x0000_t75" id="docshape3" stroked="false">
                  <v:imagedata r:id="rId6" o:title=""/>
                </v:shape>
                <v:shape style="position:absolute;left:0;top:0;width:6149;height:4119" id="docshape4" coordorigin="0,0" coordsize="6149,4119" path="m6149,0l2376,0,0,2083,0,4118,2318,4118,6149,0xe" filled="true" fillcolor="#0092c8" stroked="false">
                  <v:path arrowok="t"/>
                  <v:fill opacity="52428f" type="solid"/>
                </v:shape>
                <v:shape style="position:absolute;left:0;top:0;width:9141;height:4119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0" w:lineRule="auto" w:before="193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165" w:right="4735" w:firstLine="558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9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a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carryback sale?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5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2189" w:top="720" w:bottom="2380" w:left="600" w:right="620"/>
          <w:pgNumType w:start="1"/>
        </w:sectPr>
      </w:pPr>
    </w:p>
    <w:p>
      <w:pPr>
        <w:pStyle w:val="BodyText"/>
        <w:spacing w:before="93"/>
        <w:ind w:left="814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457200</wp:posOffset>
                </wp:positionH>
                <wp:positionV relativeFrom="paragraph">
                  <wp:posOffset>24953</wp:posOffset>
                </wp:positionV>
                <wp:extent cx="349885" cy="37020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988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964872pt;width:27.55pt;height:29.15pt;mso-position-horizontal-relative:page;mso-position-vertical-relative:paragraph;z-index:-15772672" type="#_x0000_t202" id="docshape6" filled="false" stroked="false">
                <v:textbox inset="0,0,0,0">
                  <w:txbxContent>
                    <w:p>
                      <w:pPr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seller</w:t>
      </w:r>
      <w:r>
        <w:rPr>
          <w:color w:val="231F20"/>
          <w:spacing w:val="-6"/>
        </w:rPr>
        <w:t> </w:t>
      </w:r>
      <w:r>
        <w:rPr>
          <w:color w:val="231F20"/>
        </w:rPr>
        <w:t>extends</w:t>
      </w:r>
      <w:r>
        <w:rPr>
          <w:color w:val="231F20"/>
          <w:spacing w:val="-6"/>
        </w:rPr>
        <w:t> </w:t>
      </w:r>
      <w:r>
        <w:rPr>
          <w:color w:val="231F20"/>
        </w:rPr>
        <w:t>financing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 property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part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sales</w:t>
      </w:r>
      <w:r>
        <w:rPr>
          <w:color w:val="231F20"/>
          <w:spacing w:val="-11"/>
        </w:rPr>
        <w:t> </w:t>
      </w:r>
      <w:r>
        <w:rPr>
          <w:color w:val="231F20"/>
        </w:rPr>
        <w:t>price</w:t>
      </w:r>
      <w:r>
        <w:rPr>
          <w:color w:val="231F20"/>
          <w:spacing w:val="-11"/>
        </w:rPr>
        <w:t> </w:t>
      </w:r>
      <w:r>
        <w:rPr>
          <w:color w:val="231F20"/>
        </w:rPr>
        <w:t>paid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buyer,</w:t>
      </w:r>
    </w:p>
    <w:p>
      <w:pPr>
        <w:pStyle w:val="BodyText"/>
        <w:spacing w:before="0"/>
        <w:ind w:left="119" w:right="38"/>
        <w:jc w:val="both"/>
      </w:pPr>
      <w:r>
        <w:rPr>
          <w:color w:val="231F20"/>
        </w:rPr>
        <w:t>the transaction is called a </w:t>
      </w:r>
      <w:r>
        <w:rPr>
          <w:b/>
          <w:color w:val="231F20"/>
        </w:rPr>
        <w:t>carryback sale</w:t>
      </w:r>
      <w:r>
        <w:rPr>
          <w:color w:val="231F20"/>
        </w:rPr>
        <w:t>. The amount of the carryback debt the buyer owes the seller on closing is the portion of the price remaining after deducting: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down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payment;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38" w:hanging="27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amount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existing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mortgage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used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by the buyer to pay part of the price.</w:t>
      </w:r>
    </w:p>
    <w:p>
      <w:pPr>
        <w:pStyle w:val="BodyText"/>
        <w:ind w:left="119"/>
        <w:jc w:val="both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carryback</w:t>
      </w:r>
      <w:r>
        <w:rPr>
          <w:color w:val="231F20"/>
          <w:spacing w:val="-2"/>
        </w:rPr>
        <w:t> </w:t>
      </w:r>
      <w:r>
        <w:rPr>
          <w:color w:val="231F20"/>
        </w:rPr>
        <w:t>sale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also</w:t>
      </w:r>
      <w:r>
        <w:rPr>
          <w:color w:val="231F20"/>
          <w:spacing w:val="-2"/>
        </w:rPr>
        <w:t> </w:t>
      </w:r>
      <w:r>
        <w:rPr>
          <w:color w:val="231F20"/>
        </w:rPr>
        <w:t>known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as: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1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seller </w:t>
      </w:r>
      <w:r>
        <w:rPr>
          <w:color w:val="231F20"/>
          <w:spacing w:val="-2"/>
          <w:sz w:val="20"/>
        </w:rPr>
        <w:t>financing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installment </w:t>
      </w:r>
      <w:r>
        <w:rPr>
          <w:color w:val="231F20"/>
          <w:spacing w:val="-2"/>
          <w:sz w:val="20"/>
        </w:rPr>
        <w:t>sale;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a credit sale; </w:t>
      </w:r>
      <w:r>
        <w:rPr>
          <w:color w:val="231F20"/>
          <w:spacing w:val="-5"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owner-will-carry (OWC) </w:t>
      </w:r>
      <w:r>
        <w:rPr>
          <w:color w:val="231F20"/>
          <w:spacing w:val="-2"/>
          <w:sz w:val="20"/>
        </w:rPr>
        <w:t>sale.</w:t>
      </w:r>
    </w:p>
    <w:p>
      <w:pPr>
        <w:spacing w:before="90"/>
        <w:ind w:left="119" w:right="0" w:firstLine="0"/>
        <w:jc w:val="left"/>
        <w:rPr>
          <w:sz w:val="20"/>
        </w:rPr>
      </w:pPr>
      <w:r>
        <w:rPr>
          <w:b/>
          <w:color w:val="231F20"/>
          <w:sz w:val="20"/>
        </w:rPr>
        <w:t>Benefits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sellers</w:t>
      </w:r>
      <w:r>
        <w:rPr>
          <w:b/>
          <w:color w:val="231F20"/>
          <w:spacing w:val="-3"/>
          <w:sz w:val="20"/>
        </w:rPr>
        <w:t> </w:t>
      </w:r>
      <w:r>
        <w:rPr>
          <w:color w:val="231F20"/>
          <w:sz w:val="20"/>
        </w:rPr>
        <w:t>entering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carryback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include: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38" w:hanging="270"/>
        <w:jc w:val="left"/>
        <w:rPr>
          <w:sz w:val="20"/>
        </w:rPr>
      </w:pP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having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rely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lender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financing,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requires appraisals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extensive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paperwork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close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deal;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38" w:hanging="270"/>
        <w:jc w:val="left"/>
        <w:rPr>
          <w:sz w:val="20"/>
        </w:rPr>
      </w:pPr>
      <w:r>
        <w:rPr>
          <w:color w:val="231F20"/>
          <w:sz w:val="20"/>
        </w:rPr>
        <w:t>greater marketability by appealing to a larger pool of </w:t>
      </w:r>
      <w:r>
        <w:rPr>
          <w:color w:val="231F20"/>
          <w:spacing w:val="-2"/>
          <w:sz w:val="20"/>
        </w:rPr>
        <w:t>buyers;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0" w:after="0"/>
        <w:ind w:left="658" w:right="0" w:hanging="269"/>
        <w:jc w:val="left"/>
        <w:rPr>
          <w:sz w:val="20"/>
        </w:rPr>
      </w:pPr>
      <w:r>
        <w:rPr>
          <w:color w:val="231F20"/>
          <w:sz w:val="20"/>
        </w:rPr>
        <w:t>usually a higher-than-market sales price; </w:t>
      </w:r>
      <w:r>
        <w:rPr>
          <w:color w:val="231F20"/>
          <w:spacing w:val="-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38" w:hanging="27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ability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defer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taxes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taxable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profit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from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the </w:t>
      </w:r>
      <w:r>
        <w:rPr>
          <w:color w:val="231F20"/>
          <w:spacing w:val="-2"/>
          <w:sz w:val="20"/>
        </w:rPr>
        <w:t>sale.</w:t>
      </w:r>
    </w:p>
    <w:p>
      <w:pPr>
        <w:spacing w:before="93"/>
        <w:ind w:left="119" w:right="0" w:firstLine="0"/>
        <w:jc w:val="both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Benefits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buyers</w:t>
      </w:r>
      <w:r>
        <w:rPr>
          <w:b/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include: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99" w:hanging="270"/>
        <w:jc w:val="both"/>
        <w:rPr>
          <w:sz w:val="20"/>
        </w:rPr>
      </w:pPr>
      <w:r>
        <w:rPr>
          <w:color w:val="231F20"/>
          <w:sz w:val="20"/>
        </w:rPr>
        <w:t>a down payment amount negotiated solely with the </w:t>
      </w:r>
      <w:r>
        <w:rPr>
          <w:color w:val="231F20"/>
          <w:spacing w:val="-2"/>
          <w:sz w:val="20"/>
        </w:rPr>
        <w:t>seller;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98" w:hanging="270"/>
        <w:jc w:val="both"/>
        <w:rPr>
          <w:sz w:val="20"/>
        </w:rPr>
      </w:pPr>
      <w:r>
        <w:rPr>
          <w:color w:val="231F20"/>
          <w:sz w:val="20"/>
        </w:rPr>
        <w:t>competitive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interest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rates,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buyer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realistically able to negotiate a below-market interest rate in exchange for the seller’s higher-than-market sales </w:t>
      </w:r>
      <w:r>
        <w:rPr>
          <w:color w:val="231F20"/>
          <w:spacing w:val="-2"/>
          <w:sz w:val="20"/>
        </w:rPr>
        <w:t>price;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90" w:after="0"/>
        <w:ind w:left="659" w:right="100" w:hanging="270"/>
        <w:jc w:val="both"/>
        <w:rPr>
          <w:sz w:val="20"/>
        </w:rPr>
      </w:pPr>
      <w:r>
        <w:rPr>
          <w:color w:val="231F20"/>
          <w:sz w:val="20"/>
        </w:rPr>
        <w:t>more flexible considerations for qualification and documentation than by mortgage lenders; and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91" w:after="0"/>
        <w:ind w:left="658" w:right="0" w:hanging="269"/>
        <w:jc w:val="both"/>
        <w:rPr>
          <w:sz w:val="20"/>
        </w:rPr>
      </w:pPr>
      <w:r>
        <w:rPr>
          <w:color w:val="231F20"/>
          <w:sz w:val="20"/>
        </w:rPr>
        <w:t>no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origination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costs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lender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processing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hassle.</w:t>
      </w:r>
    </w:p>
    <w:p>
      <w:pPr>
        <w:pStyle w:val="BodyText"/>
        <w:ind w:left="119" w:right="99"/>
        <w:jc w:val="both"/>
      </w:pPr>
      <w:r>
        <w:rPr>
          <w:color w:val="231F20"/>
        </w:rPr>
        <w:t>However,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seller</w:t>
      </w:r>
      <w:r>
        <w:rPr>
          <w:color w:val="231F20"/>
          <w:spacing w:val="29"/>
        </w:rPr>
        <w:t> </w:t>
      </w:r>
      <w:r>
        <w:rPr>
          <w:color w:val="231F20"/>
        </w:rPr>
        <w:t>(former</w:t>
      </w:r>
      <w:r>
        <w:rPr>
          <w:color w:val="231F20"/>
          <w:spacing w:val="29"/>
        </w:rPr>
        <w:t> </w:t>
      </w:r>
      <w:r>
        <w:rPr>
          <w:color w:val="231F20"/>
        </w:rPr>
        <w:t>owner)</w:t>
      </w:r>
      <w:r>
        <w:rPr>
          <w:color w:val="231F20"/>
          <w:spacing w:val="29"/>
        </w:rPr>
        <w:t> </w:t>
      </w:r>
      <w:r>
        <w:rPr>
          <w:color w:val="231F20"/>
        </w:rPr>
        <w:t>takes</w:t>
      </w:r>
      <w:r>
        <w:rPr>
          <w:color w:val="231F20"/>
          <w:spacing w:val="29"/>
        </w:rPr>
        <w:t> </w:t>
      </w:r>
      <w:r>
        <w:rPr>
          <w:color w:val="231F20"/>
        </w:rPr>
        <w:t>on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risks</w:t>
      </w:r>
      <w:r>
        <w:rPr>
          <w:color w:val="231F20"/>
          <w:spacing w:val="29"/>
        </w:rPr>
        <w:t> </w:t>
      </w:r>
      <w:r>
        <w:rPr>
          <w:color w:val="231F20"/>
        </w:rPr>
        <w:t>of a mortgage lender when they extend carryback financing.</w:t>
      </w:r>
      <w:r>
        <w:rPr>
          <w:color w:val="231F20"/>
          <w:spacing w:val="40"/>
        </w:rPr>
        <w:t> </w:t>
      </w:r>
      <w:r>
        <w:rPr>
          <w:color w:val="231F20"/>
        </w:rPr>
        <w:t>If the buyer defaults on the seller-extended financing, the property is the seller’s sole source of recovery.</w:t>
      </w:r>
    </w:p>
    <w:p>
      <w:pPr>
        <w:pStyle w:val="BodyText"/>
        <w:ind w:left="119" w:right="99"/>
        <w:jc w:val="both"/>
      </w:pPr>
      <w:r>
        <w:rPr>
          <w:color w:val="231F20"/>
        </w:rPr>
        <w:t>Also, the property’s value might decline or the buyer might commit waste in their treatment of the property. When a property’s value becomes less than the carryback debt,</w:t>
      </w:r>
      <w:r>
        <w:rPr>
          <w:color w:val="231F20"/>
          <w:spacing w:val="40"/>
        </w:rPr>
        <w:t> </w:t>
      </w:r>
      <w:r>
        <w:rPr>
          <w:color w:val="231F20"/>
        </w:rPr>
        <w:t>the carryback seller will experience a loss if they have to foreclose</w:t>
      </w:r>
      <w:r>
        <w:rPr>
          <w:color w:val="231F20"/>
          <w:spacing w:val="-10"/>
        </w:rPr>
        <w:t> </w:t>
      </w:r>
      <w:r>
        <w:rPr>
          <w:color w:val="231F20"/>
        </w:rPr>
        <w:t>(except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case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waste,</w:t>
      </w:r>
      <w:r>
        <w:rPr>
          <w:color w:val="231F20"/>
          <w:spacing w:val="-10"/>
        </w:rPr>
        <w:t> </w:t>
      </w:r>
      <w:r>
        <w:rPr>
          <w:color w:val="231F20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recoverable </w:t>
      </w:r>
      <w:r>
        <w:rPr>
          <w:color w:val="231F20"/>
          <w:spacing w:val="-4"/>
        </w:rPr>
        <w:t>from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buyer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directly).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Further,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foreclosure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resale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 </w:t>
      </w:r>
      <w:r>
        <w:rPr>
          <w:color w:val="231F20"/>
        </w:rPr>
        <w:t>property</w:t>
      </w:r>
      <w:r>
        <w:rPr>
          <w:color w:val="231F20"/>
          <w:spacing w:val="-14"/>
        </w:rPr>
        <w:t> </w:t>
      </w:r>
      <w:r>
        <w:rPr>
          <w:color w:val="231F20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</w:rPr>
        <w:t>associated</w:t>
      </w:r>
      <w:r>
        <w:rPr>
          <w:color w:val="231F20"/>
          <w:spacing w:val="-14"/>
        </w:rPr>
        <w:t> </w:t>
      </w:r>
      <w:r>
        <w:rPr>
          <w:color w:val="231F20"/>
        </w:rPr>
        <w:t>costs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seller</w:t>
      </w:r>
      <w:r>
        <w:rPr>
          <w:color w:val="231F20"/>
          <w:spacing w:val="-14"/>
        </w:rPr>
        <w:t> </w:t>
      </w:r>
      <w:r>
        <w:rPr>
          <w:color w:val="231F20"/>
        </w:rPr>
        <w:t>needs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consider. Thus,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seller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screen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creditworthiness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 buyer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buyer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sustainably</w:t>
      </w:r>
      <w:r>
        <w:rPr>
          <w:color w:val="231F20"/>
          <w:spacing w:val="-4"/>
        </w:rPr>
        <w:t> </w:t>
      </w:r>
      <w:r>
        <w:rPr>
          <w:color w:val="231F20"/>
        </w:rPr>
        <w:t>pay the carryback debt owed the seller.</w:t>
      </w:r>
    </w:p>
    <w:p>
      <w:pPr>
        <w:spacing w:after="0"/>
        <w:jc w:val="both"/>
        <w:sectPr>
          <w:type w:val="continuous"/>
          <w:pgSz w:w="12240" w:h="15840"/>
          <w:pgMar w:header="0" w:footer="2189" w:top="720" w:bottom="2380" w:left="600" w:right="620"/>
          <w:cols w:num="2" w:equalWidth="0">
            <w:col w:w="5380" w:space="199"/>
            <w:col w:w="5441"/>
          </w:cols>
        </w:sect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0"/>
      </w:pPr>
    </w:p>
    <w:p>
      <w:pPr>
        <w:spacing w:line="249" w:lineRule="auto" w:before="0"/>
        <w:ind w:left="796" w:right="844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189" w:top="720" w:bottom="23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5689014</wp:posOffset>
          </wp:positionH>
          <wp:positionV relativeFrom="page">
            <wp:posOffset>8557385</wp:posOffset>
          </wp:positionV>
          <wp:extent cx="600807" cy="6929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875423</wp:posOffset>
              </wp:positionH>
              <wp:positionV relativeFrom="page">
                <wp:posOffset>8528625</wp:posOffset>
              </wp:positionV>
              <wp:extent cx="1671955" cy="6248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DRE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LIC#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01474985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925-395-</w:t>
                          </w:r>
                          <w:r>
                            <w:rPr>
                              <w:spacing w:val="-4"/>
                            </w:rPr>
                            <w:t>0175</w:t>
                          </w:r>
                        </w:p>
                        <w:p>
                          <w:pPr>
                            <w:pStyle w:val="BodyText"/>
                            <w:spacing w:line="249" w:lineRule="auto" w:before="10"/>
                            <w:ind w:left="20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71.545288pt;width:131.65pt;height:49.2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DRE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LIC#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01474985</w:t>
                    </w:r>
                  </w:p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925-395-</w:t>
                    </w:r>
                    <w:r>
                      <w:rPr>
                        <w:spacing w:val="-4"/>
                      </w:rPr>
                      <w:t>0175</w:t>
                    </w:r>
                  </w:p>
                  <w:p>
                    <w:pPr>
                      <w:pStyle w:val="BodyText"/>
                      <w:spacing w:line="249" w:lineRule="auto" w:before="1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5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2" w:lineRule="exact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58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2024-09-08T22:59:44Z</dcterms:created>
  <dcterms:modified xsi:type="dcterms:W3CDTF">2024-09-08T22:59:44Z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