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3456940"/>
                <wp:effectExtent l="0" t="0" r="0" b="63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315200" cy="3456940"/>
                          <a:chExt cx="7315200" cy="345694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3456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2124964"/>
                            <a:ext cx="7315200" cy="1042669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274"/>
                                <w:ind w:left="360" w:right="938" w:firstLine="0"/>
                                <w:jc w:val="left"/>
                                <w:rPr>
                                  <w:rFonts w:asci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How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1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will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know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if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1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there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are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problems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1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the home I want to buy?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72.2pt;mso-position-horizontal-relative:char;mso-position-vertical-relative:line" id="docshapegroup3" coordorigin="0,0" coordsize="11520,5444">
                <v:shape style="position:absolute;left:0;top:0;width:11520;height:5444" type="#_x0000_t75" id="docshape4" stroked="false">
                  <v:imagedata r:id="rId6" o:title=""/>
                </v:shape>
                <v:shape style="position:absolute;left:0;top:3346;width:11520;height:1642" type="#_x0000_t202" id="docshape5" filled="true" fillcolor="#d2232a" stroked="false">
                  <v:textbox inset="0,0,0,0">
                    <w:txbxContent>
                      <w:p>
                        <w:pPr>
                          <w:spacing w:line="249" w:lineRule="auto" w:before="274"/>
                          <w:ind w:left="360" w:right="938" w:firstLine="0"/>
                          <w:jc w:val="left"/>
                          <w:rPr>
                            <w:rFonts w:asci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How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1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will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know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if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1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there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are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problems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with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1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the home I want to buy?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"/>
        <w:ind w:left="0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2240" w:h="15840"/>
          <w:pgMar w:header="0" w:footer="2009" w:top="380" w:bottom="2200" w:left="260" w:right="260"/>
          <w:pgNumType w:start="1"/>
        </w:sectPr>
      </w:pPr>
    </w:p>
    <w:p>
      <w:pPr>
        <w:pStyle w:val="BodyText"/>
        <w:spacing w:line="249" w:lineRule="auto" w:before="95"/>
        <w:ind w:left="113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368">
                <wp:simplePos x="0" y="0"/>
                <wp:positionH relativeFrom="page">
                  <wp:posOffset>457200</wp:posOffset>
                </wp:positionH>
                <wp:positionV relativeFrom="paragraph">
                  <wp:posOffset>25906</wp:posOffset>
                </wp:positionV>
                <wp:extent cx="340995" cy="36131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40995" cy="361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8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1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7"/>
                                <w:sz w:val="51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.039877pt;width:26.85pt;height:28.45pt;mso-position-horizontal-relative:page;mso-position-vertical-relative:paragraph;z-index:-15770112" type="#_x0000_t202" id="docshape6" filled="false" stroked="false">
                <v:textbox inset="0,0,0,0">
                  <w:txbxContent>
                    <w:p>
                      <w:pPr>
                        <w:spacing w:line="568" w:lineRule="exact" w:before="0"/>
                        <w:ind w:left="0" w:right="0" w:firstLine="0"/>
                        <w:jc w:val="left"/>
                        <w:rPr>
                          <w:b/>
                          <w:sz w:val="51"/>
                        </w:rPr>
                      </w:pPr>
                      <w:r>
                        <w:rPr>
                          <w:b/>
                          <w:color w:val="D2232A"/>
                          <w:spacing w:val="-7"/>
                          <w:sz w:val="51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The seller of a one-to-four unit residential property is mandated</w:t>
      </w:r>
      <w:r>
        <w:rPr>
          <w:color w:val="231F20"/>
          <w:spacing w:val="35"/>
        </w:rPr>
        <w:t> </w:t>
      </w:r>
      <w:r>
        <w:rPr>
          <w:color w:val="231F20"/>
        </w:rPr>
        <w:t>to</w:t>
      </w:r>
      <w:r>
        <w:rPr>
          <w:color w:val="231F20"/>
          <w:spacing w:val="37"/>
        </w:rPr>
        <w:t> </w:t>
      </w:r>
      <w:r>
        <w:rPr>
          <w:color w:val="231F20"/>
        </w:rPr>
        <w:t>complete</w:t>
      </w:r>
      <w:r>
        <w:rPr>
          <w:color w:val="231F20"/>
          <w:spacing w:val="38"/>
        </w:rPr>
        <w:t> </w:t>
      </w:r>
      <w:r>
        <w:rPr>
          <w:color w:val="231F20"/>
        </w:rPr>
        <w:t>and</w:t>
      </w:r>
      <w:r>
        <w:rPr>
          <w:color w:val="231F20"/>
          <w:spacing w:val="37"/>
        </w:rPr>
        <w:t> </w:t>
      </w:r>
      <w:r>
        <w:rPr>
          <w:color w:val="231F20"/>
        </w:rPr>
        <w:t>deliver</w:t>
      </w:r>
      <w:r>
        <w:rPr>
          <w:color w:val="231F20"/>
          <w:spacing w:val="38"/>
        </w:rPr>
        <w:t> </w:t>
      </w:r>
      <w:r>
        <w:rPr>
          <w:color w:val="231F20"/>
        </w:rPr>
        <w:t>to</w:t>
      </w:r>
      <w:r>
        <w:rPr>
          <w:color w:val="231F20"/>
          <w:spacing w:val="37"/>
        </w:rPr>
        <w:t> </w:t>
      </w:r>
      <w:r>
        <w:rPr>
          <w:color w:val="231F20"/>
        </w:rPr>
        <w:t>a</w:t>
      </w:r>
      <w:r>
        <w:rPr>
          <w:color w:val="231F20"/>
          <w:spacing w:val="38"/>
        </w:rPr>
        <w:t> </w:t>
      </w:r>
      <w:r>
        <w:rPr>
          <w:color w:val="231F20"/>
          <w:spacing w:val="-2"/>
        </w:rPr>
        <w:t>prospective</w:t>
      </w:r>
    </w:p>
    <w:p>
      <w:pPr>
        <w:pStyle w:val="BodyText"/>
        <w:spacing w:line="249" w:lineRule="auto" w:before="1"/>
        <w:ind w:left="459"/>
        <w:jc w:val="both"/>
      </w:pPr>
      <w:r>
        <w:rPr>
          <w:color w:val="231F20"/>
          <w:spacing w:val="-2"/>
        </w:rPr>
        <w:t>buyer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statutory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form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called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b/>
          <w:color w:val="231F20"/>
          <w:spacing w:val="-2"/>
        </w:rPr>
        <w:t>Transfer</w:t>
      </w:r>
      <w:r>
        <w:rPr>
          <w:b/>
          <w:color w:val="231F20"/>
          <w:spacing w:val="-10"/>
        </w:rPr>
        <w:t> </w:t>
      </w:r>
      <w:r>
        <w:rPr>
          <w:b/>
          <w:color w:val="231F20"/>
          <w:spacing w:val="-2"/>
        </w:rPr>
        <w:t>Disclosure</w:t>
      </w:r>
      <w:r>
        <w:rPr>
          <w:b/>
          <w:color w:val="231F20"/>
          <w:spacing w:val="-10"/>
        </w:rPr>
        <w:t> </w:t>
      </w:r>
      <w:r>
        <w:rPr>
          <w:b/>
          <w:color w:val="231F20"/>
          <w:spacing w:val="-2"/>
        </w:rPr>
        <w:t>Statement </w:t>
      </w:r>
      <w:r>
        <w:rPr>
          <w:b/>
          <w:color w:val="231F20"/>
        </w:rPr>
        <w:t>(TDS)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</w:rPr>
        <w:t>called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Condition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Property</w:t>
      </w:r>
      <w:r>
        <w:rPr>
          <w:color w:val="231F20"/>
          <w:spacing w:val="-7"/>
        </w:rPr>
        <w:t> </w:t>
      </w:r>
      <w:r>
        <w:rPr>
          <w:color w:val="231F20"/>
        </w:rPr>
        <w:t>Transfer</w:t>
      </w:r>
      <w:r>
        <w:rPr>
          <w:color w:val="231F20"/>
          <w:spacing w:val="-3"/>
        </w:rPr>
        <w:t> </w:t>
      </w:r>
      <w:r>
        <w:rPr>
          <w:color w:val="231F20"/>
        </w:rPr>
        <w:t>Disclosure Statement. The TDS is to be handed to the buyer before the seller accepts a purchase agreement offer submitted by the </w:t>
      </w:r>
      <w:r>
        <w:rPr>
          <w:color w:val="231F20"/>
          <w:spacing w:val="-2"/>
        </w:rPr>
        <w:t>buyer.</w:t>
      </w:r>
    </w:p>
    <w:p>
      <w:pPr>
        <w:pStyle w:val="BodyText"/>
        <w:spacing w:line="249" w:lineRule="auto" w:before="184"/>
        <w:ind w:left="459"/>
        <w:jc w:val="both"/>
      </w:pPr>
      <w:r>
        <w:rPr>
          <w:color w:val="231F20"/>
        </w:rPr>
        <w:t>The seller is required to prepare it with honesty and in good faith. When preparing the TDS, the seller sets forth any property defects </w:t>
      </w:r>
      <w:r>
        <w:rPr>
          <w:i/>
          <w:color w:val="231F20"/>
        </w:rPr>
        <w:t>known </w:t>
      </w:r>
      <w:r>
        <w:rPr>
          <w:color w:val="231F20"/>
        </w:rPr>
        <w:t>or </w:t>
      </w:r>
      <w:r>
        <w:rPr>
          <w:i/>
          <w:color w:val="231F20"/>
        </w:rPr>
        <w:t>suspected </w:t>
      </w:r>
      <w:r>
        <w:rPr>
          <w:color w:val="231F20"/>
        </w:rPr>
        <w:t>to exist by the seller.</w:t>
      </w:r>
      <w:r>
        <w:rPr>
          <w:color w:val="231F20"/>
          <w:spacing w:val="-2"/>
        </w:rPr>
        <w:t> </w:t>
      </w:r>
      <w:r>
        <w:rPr>
          <w:color w:val="231F20"/>
        </w:rPr>
        <w:t>To that end, the seller’s agent is to conduct a visual inspection of the property and note their further observations on the TDS before marketing the home for sale.</w:t>
      </w:r>
    </w:p>
    <w:p>
      <w:pPr>
        <w:pStyle w:val="BodyText"/>
        <w:spacing w:line="249" w:lineRule="auto" w:before="185"/>
        <w:ind w:left="459"/>
        <w:jc w:val="both"/>
      </w:pPr>
      <w:r>
        <w:rPr>
          <w:color w:val="231F20"/>
        </w:rPr>
        <w:t>Prudent sellers and seller’s agents obtain and rely on the content of a </w:t>
      </w:r>
      <w:r>
        <w:rPr>
          <w:b/>
          <w:color w:val="231F20"/>
        </w:rPr>
        <w:t>home inspection report (HIR) </w:t>
      </w:r>
      <w:r>
        <w:rPr>
          <w:color w:val="231F20"/>
        </w:rPr>
        <w:t>to prepare their TDS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delivery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prospective</w:t>
      </w:r>
      <w:r>
        <w:rPr>
          <w:color w:val="231F20"/>
          <w:spacing w:val="-5"/>
        </w:rPr>
        <w:t> </w:t>
      </w:r>
      <w:r>
        <w:rPr>
          <w:color w:val="231F20"/>
        </w:rPr>
        <w:t>buyers.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risk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</w:rPr>
        <w:t>claims of non-disclosure is greatly reduced.</w:t>
      </w:r>
    </w:p>
    <w:p>
      <w:pPr>
        <w:pStyle w:val="BodyText"/>
        <w:spacing w:line="249" w:lineRule="auto" w:before="183"/>
        <w:ind w:left="459"/>
        <w:jc w:val="both"/>
      </w:pPr>
      <w:r>
        <w:rPr>
          <w:color w:val="231F20"/>
        </w:rPr>
        <w:t>Any conditions known to the seller which might negatively </w:t>
      </w:r>
      <w:r>
        <w:rPr>
          <w:color w:val="231F20"/>
          <w:spacing w:val="-2"/>
        </w:rPr>
        <w:t>affect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> </w:t>
      </w:r>
      <w:r>
        <w:rPr>
          <w:i/>
          <w:color w:val="231F20"/>
          <w:spacing w:val="-2"/>
        </w:rPr>
        <w:t>value</w:t>
      </w:r>
      <w:r>
        <w:rPr>
          <w:i/>
          <w:color w:val="231F20"/>
          <w:spacing w:val="-6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> </w:t>
      </w:r>
      <w:r>
        <w:rPr>
          <w:i/>
          <w:color w:val="231F20"/>
          <w:spacing w:val="-2"/>
        </w:rPr>
        <w:t>desirability</w:t>
      </w:r>
      <w:r>
        <w:rPr>
          <w:i/>
          <w:color w:val="231F20"/>
          <w:spacing w:val="-6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property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prospective </w:t>
      </w:r>
      <w:r>
        <w:rPr>
          <w:color w:val="231F20"/>
        </w:rPr>
        <w:t>buyer are to be disclosed, even though they may not be an item</w:t>
      </w:r>
      <w:r>
        <w:rPr>
          <w:color w:val="231F20"/>
          <w:spacing w:val="-7"/>
        </w:rPr>
        <w:t> </w:t>
      </w:r>
      <w:r>
        <w:rPr>
          <w:color w:val="231F20"/>
        </w:rPr>
        <w:t>listed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TDS.</w:t>
      </w:r>
      <w:r>
        <w:rPr>
          <w:color w:val="231F20"/>
          <w:spacing w:val="-7"/>
        </w:rPr>
        <w:t> </w:t>
      </w:r>
      <w:r>
        <w:rPr>
          <w:color w:val="231F20"/>
        </w:rPr>
        <w:t>Disclosures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buyer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</w:rPr>
        <w:t>limited to property conditions preprinted on the form.</w:t>
      </w:r>
    </w:p>
    <w:p>
      <w:pPr>
        <w:pStyle w:val="BodyText"/>
        <w:spacing w:line="249" w:lineRule="auto" w:before="94"/>
        <w:ind w:left="319" w:right="457"/>
        <w:jc w:val="both"/>
      </w:pPr>
      <w:r>
        <w:rPr/>
        <w:br w:type="column"/>
      </w:r>
      <w:r>
        <w:rPr>
          <w:i/>
          <w:color w:val="231F20"/>
        </w:rPr>
        <w:t>Material defects </w:t>
      </w:r>
      <w:r>
        <w:rPr>
          <w:color w:val="231F20"/>
        </w:rPr>
        <w:t>affect the price a reasonably prudent homebuyer may pay for the home, and are conditions which affect the property’s: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93" w:after="0"/>
        <w:ind w:left="858" w:right="0" w:hanging="269"/>
        <w:jc w:val="left"/>
        <w:rPr>
          <w:sz w:val="19"/>
        </w:rPr>
      </w:pPr>
      <w:r>
        <w:rPr>
          <w:color w:val="231F20"/>
          <w:sz w:val="19"/>
        </w:rPr>
        <w:t>market </w:t>
      </w:r>
      <w:r>
        <w:rPr>
          <w:color w:val="231F20"/>
          <w:spacing w:val="-2"/>
          <w:sz w:val="19"/>
        </w:rPr>
        <w:t>value;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9" w:after="0"/>
        <w:ind w:left="858" w:right="0" w:hanging="269"/>
        <w:jc w:val="left"/>
        <w:rPr>
          <w:sz w:val="19"/>
        </w:rPr>
      </w:pPr>
      <w:r>
        <w:rPr>
          <w:color w:val="231F20"/>
          <w:sz w:val="19"/>
        </w:rPr>
        <w:t>desirability as a </w:t>
      </w:r>
      <w:r>
        <w:rPr>
          <w:color w:val="231F20"/>
          <w:spacing w:val="-2"/>
          <w:sz w:val="19"/>
        </w:rPr>
        <w:t>dwelling;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10" w:after="0"/>
        <w:ind w:left="858" w:right="0" w:hanging="269"/>
        <w:jc w:val="left"/>
        <w:rPr>
          <w:sz w:val="19"/>
        </w:rPr>
      </w:pPr>
      <w:r>
        <w:rPr>
          <w:color w:val="231F20"/>
          <w:sz w:val="19"/>
        </w:rPr>
        <w:t>habitability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from the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elements; </w:t>
      </w:r>
      <w:r>
        <w:rPr>
          <w:color w:val="231F20"/>
          <w:spacing w:val="-5"/>
          <w:sz w:val="19"/>
        </w:rPr>
        <w:t>and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9" w:after="0"/>
        <w:ind w:left="858" w:right="0" w:hanging="269"/>
        <w:jc w:val="left"/>
        <w:rPr>
          <w:sz w:val="19"/>
        </w:rPr>
      </w:pPr>
      <w:r>
        <w:rPr>
          <w:color w:val="231F20"/>
          <w:sz w:val="19"/>
        </w:rPr>
        <w:t>safety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from injury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in its use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as a </w:t>
      </w:r>
      <w:r>
        <w:rPr>
          <w:color w:val="231F20"/>
          <w:spacing w:val="-2"/>
          <w:sz w:val="19"/>
        </w:rPr>
        <w:t>dwelling.</w:t>
      </w:r>
    </w:p>
    <w:p>
      <w:pPr>
        <w:pStyle w:val="BodyText"/>
        <w:spacing w:before="19"/>
        <w:ind w:left="0"/>
      </w:pPr>
    </w:p>
    <w:p>
      <w:pPr>
        <w:pStyle w:val="BodyText"/>
        <w:spacing w:line="249" w:lineRule="auto"/>
        <w:ind w:left="319" w:right="457"/>
        <w:jc w:val="both"/>
      </w:pPr>
      <w:r>
        <w:rPr>
          <w:color w:val="231F20"/>
        </w:rPr>
        <w:t>Further, a </w:t>
      </w:r>
      <w:r>
        <w:rPr>
          <w:b/>
          <w:color w:val="231F20"/>
        </w:rPr>
        <w:t>Natural Hazard Disclosure Statement (NHDS) </w:t>
      </w:r>
      <w:r>
        <w:rPr>
          <w:color w:val="231F20"/>
        </w:rPr>
        <w:t>is also</w:t>
      </w:r>
      <w:r>
        <w:rPr>
          <w:color w:val="231F20"/>
          <w:spacing w:val="-9"/>
        </w:rPr>
        <w:t> </w:t>
      </w:r>
      <w:r>
        <w:rPr>
          <w:color w:val="231F20"/>
        </w:rPr>
        <w:t>mandated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be</w:t>
      </w:r>
      <w:r>
        <w:rPr>
          <w:color w:val="231F20"/>
          <w:spacing w:val="-9"/>
        </w:rPr>
        <w:t> </w:t>
      </w:r>
      <w:r>
        <w:rPr>
          <w:color w:val="231F20"/>
        </w:rPr>
        <w:t>delivered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seller’s</w:t>
      </w:r>
      <w:r>
        <w:rPr>
          <w:color w:val="231F20"/>
          <w:spacing w:val="-9"/>
        </w:rPr>
        <w:t> </w:t>
      </w:r>
      <w:r>
        <w:rPr>
          <w:color w:val="231F20"/>
        </w:rPr>
        <w:t>agent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potential buyers “as soon as practical” — which means before the</w:t>
      </w:r>
      <w:r>
        <w:rPr>
          <w:color w:val="231F20"/>
          <w:spacing w:val="40"/>
        </w:rPr>
        <w:t> </w:t>
      </w:r>
      <w:r>
        <w:rPr>
          <w:color w:val="231F20"/>
        </w:rPr>
        <w:t>seller</w:t>
      </w:r>
      <w:r>
        <w:rPr>
          <w:color w:val="231F20"/>
          <w:spacing w:val="-5"/>
        </w:rPr>
        <w:t> </w:t>
      </w:r>
      <w:r>
        <w:rPr>
          <w:color w:val="231F20"/>
        </w:rPr>
        <w:t>signs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purchase</w:t>
      </w:r>
      <w:r>
        <w:rPr>
          <w:color w:val="231F20"/>
          <w:spacing w:val="-5"/>
        </w:rPr>
        <w:t> </w:t>
      </w:r>
      <w:r>
        <w:rPr>
          <w:color w:val="231F20"/>
        </w:rPr>
        <w:t>agreement,</w:t>
      </w:r>
      <w:r>
        <w:rPr>
          <w:color w:val="231F20"/>
          <w:spacing w:val="-5"/>
        </w:rPr>
        <w:t> </w:t>
      </w:r>
      <w:r>
        <w:rPr>
          <w:color w:val="231F20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California Attorney</w:t>
      </w:r>
      <w:r>
        <w:rPr>
          <w:color w:val="231F20"/>
          <w:spacing w:val="-9"/>
        </w:rPr>
        <w:t> </w:t>
      </w:r>
      <w:r>
        <w:rPr>
          <w:color w:val="231F20"/>
        </w:rPr>
        <w:t>General.</w:t>
      </w:r>
      <w:r>
        <w:rPr>
          <w:color w:val="231F20"/>
          <w:spacing w:val="-8"/>
        </w:rPr>
        <w:t> </w:t>
      </w:r>
      <w:r>
        <w:rPr>
          <w:color w:val="231F20"/>
        </w:rPr>
        <w:t>If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hazard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known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any</w:t>
      </w:r>
      <w:r>
        <w:rPr>
          <w:color w:val="231F20"/>
          <w:spacing w:val="-9"/>
        </w:rPr>
        <w:t> </w:t>
      </w:r>
      <w:r>
        <w:rPr>
          <w:color w:val="231F20"/>
        </w:rPr>
        <w:t>agent</w:t>
      </w:r>
      <w:r>
        <w:rPr>
          <w:color w:val="231F20"/>
          <w:spacing w:val="-8"/>
        </w:rPr>
        <w:t> </w:t>
      </w:r>
      <w:r>
        <w:rPr>
          <w:color w:val="231F20"/>
        </w:rPr>
        <w:t>(as</w:t>
      </w:r>
      <w:r>
        <w:rPr>
          <w:color w:val="231F20"/>
          <w:spacing w:val="-9"/>
        </w:rPr>
        <w:t> </w:t>
      </w:r>
      <w:r>
        <w:rPr>
          <w:color w:val="231F20"/>
        </w:rPr>
        <w:t>well</w:t>
      </w:r>
      <w:r>
        <w:rPr>
          <w:color w:val="231F20"/>
          <w:spacing w:val="-8"/>
        </w:rPr>
        <w:t> </w:t>
      </w:r>
      <w:r>
        <w:rPr>
          <w:color w:val="231F20"/>
        </w:rPr>
        <w:t>as the seller) or shown by public records, it is to be disclosed to the prospective buyer before the seller enters into a purchase agreement on the property.</w:t>
      </w:r>
    </w:p>
    <w:p>
      <w:pPr>
        <w:pStyle w:val="BodyText"/>
        <w:spacing w:line="249" w:lineRule="auto" w:before="187"/>
        <w:ind w:left="319"/>
      </w:pPr>
      <w:r>
        <w:rPr>
          <w:color w:val="231F20"/>
        </w:rPr>
        <w:t>Locations</w:t>
      </w:r>
      <w:r>
        <w:rPr>
          <w:color w:val="231F20"/>
          <w:spacing w:val="-14"/>
        </w:rPr>
        <w:t> </w:t>
      </w:r>
      <w:r>
        <w:rPr>
          <w:color w:val="231F20"/>
        </w:rPr>
        <w:t>where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property</w:t>
      </w:r>
      <w:r>
        <w:rPr>
          <w:color w:val="231F20"/>
          <w:spacing w:val="-13"/>
        </w:rPr>
        <w:t> </w:t>
      </w:r>
      <w:r>
        <w:rPr>
          <w:color w:val="231F20"/>
        </w:rPr>
        <w:t>might</w:t>
      </w:r>
      <w:r>
        <w:rPr>
          <w:color w:val="231F20"/>
          <w:spacing w:val="-13"/>
        </w:rPr>
        <w:t> </w:t>
      </w:r>
      <w:r>
        <w:rPr>
          <w:color w:val="231F20"/>
        </w:rPr>
        <w:t>be</w:t>
      </w:r>
      <w:r>
        <w:rPr>
          <w:color w:val="231F20"/>
          <w:spacing w:val="-14"/>
        </w:rPr>
        <w:t> </w:t>
      </w:r>
      <w:r>
        <w:rPr>
          <w:color w:val="231F20"/>
        </w:rPr>
        <w:t>subject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natural</w:t>
      </w:r>
      <w:r>
        <w:rPr>
          <w:color w:val="231F20"/>
          <w:spacing w:val="-13"/>
        </w:rPr>
        <w:t> </w:t>
      </w:r>
      <w:r>
        <w:rPr>
          <w:color w:val="231F20"/>
        </w:rPr>
        <w:t>hazards </w:t>
      </w:r>
      <w:r>
        <w:rPr>
          <w:color w:val="231F20"/>
          <w:spacing w:val="-2"/>
        </w:rPr>
        <w:t>include: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91" w:after="0"/>
        <w:ind w:left="858" w:right="0" w:hanging="269"/>
        <w:jc w:val="left"/>
        <w:rPr>
          <w:sz w:val="19"/>
        </w:rPr>
      </w:pPr>
      <w:r>
        <w:rPr>
          <w:color w:val="231F20"/>
          <w:sz w:val="19"/>
        </w:rPr>
        <w:t>special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flood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hazard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areas;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10" w:after="0"/>
        <w:ind w:left="858" w:right="0" w:hanging="269"/>
        <w:jc w:val="left"/>
        <w:rPr>
          <w:sz w:val="19"/>
        </w:rPr>
      </w:pPr>
      <w:r>
        <w:rPr>
          <w:color w:val="231F20"/>
          <w:sz w:val="19"/>
        </w:rPr>
        <w:t>potential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flooding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and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inundation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areas;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9" w:after="0"/>
        <w:ind w:left="858" w:right="0" w:hanging="269"/>
        <w:jc w:val="left"/>
        <w:rPr>
          <w:sz w:val="19"/>
        </w:rPr>
      </w:pPr>
      <w:r>
        <w:rPr>
          <w:color w:val="231F20"/>
          <w:sz w:val="19"/>
        </w:rPr>
        <w:t>very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high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fire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hazard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severity</w:t>
      </w:r>
      <w:r>
        <w:rPr>
          <w:color w:val="231F20"/>
          <w:spacing w:val="-2"/>
          <w:sz w:val="19"/>
        </w:rPr>
        <w:t> zones;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10" w:after="0"/>
        <w:ind w:left="858" w:right="0" w:hanging="269"/>
        <w:jc w:val="left"/>
        <w:rPr>
          <w:sz w:val="19"/>
        </w:rPr>
      </w:pPr>
      <w:r>
        <w:rPr>
          <w:color w:val="231F20"/>
          <w:sz w:val="19"/>
        </w:rPr>
        <w:t>wildland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fire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areas;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9" w:after="0"/>
        <w:ind w:left="858" w:right="0" w:hanging="269"/>
        <w:jc w:val="left"/>
        <w:rPr>
          <w:sz w:val="19"/>
        </w:rPr>
      </w:pPr>
      <w:r>
        <w:rPr>
          <w:color w:val="231F20"/>
          <w:sz w:val="19"/>
        </w:rPr>
        <w:t>earthquake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fault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zones;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5"/>
          <w:sz w:val="19"/>
        </w:rPr>
        <w:t>and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10" w:after="0"/>
        <w:ind w:left="858" w:right="0" w:hanging="269"/>
        <w:jc w:val="left"/>
        <w:rPr>
          <w:sz w:val="19"/>
        </w:rPr>
      </w:pPr>
      <w:r>
        <w:rPr>
          <w:color w:val="231F20"/>
          <w:sz w:val="19"/>
        </w:rPr>
        <w:t>seismic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hazard</w:t>
      </w:r>
      <w:r>
        <w:rPr>
          <w:color w:val="231F20"/>
          <w:spacing w:val="-2"/>
          <w:sz w:val="19"/>
        </w:rPr>
        <w:t> zones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2240" w:h="15840"/>
          <w:pgMar w:header="0" w:footer="2009" w:top="380" w:bottom="220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45"/>
        <w:ind w:left="0"/>
        <w:rPr>
          <w:sz w:val="20"/>
        </w:rPr>
      </w:pPr>
    </w:p>
    <w:p>
      <w:pPr>
        <w:spacing w:line="249" w:lineRule="auto" w:before="0"/>
        <w:ind w:left="1136" w:right="8802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sectPr>
      <w:type w:val="continuous"/>
      <w:pgSz w:w="12240" w:h="15840"/>
      <w:pgMar w:header="0" w:footer="2009" w:top="380" w:bottom="220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228600</wp:posOffset>
              </wp:positionH>
              <wp:positionV relativeFrom="page">
                <wp:posOffset>9601200</wp:posOffset>
              </wp:positionV>
              <wp:extent cx="7315200" cy="2286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315200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5200" h="228600">
                            <a:moveTo>
                              <a:pt x="7315200" y="0"/>
                            </a:moveTo>
                            <a:lnTo>
                              <a:pt x="0" y="0"/>
                            </a:lnTo>
                            <a:lnTo>
                              <a:pt x="0" y="228600"/>
                            </a:lnTo>
                            <a:lnTo>
                              <a:pt x="7315200" y="228600"/>
                            </a:lnTo>
                            <a:lnTo>
                              <a:pt x="7315200" y="0"/>
                            </a:lnTo>
                            <a:close/>
                          </a:path>
                        </a:pathLst>
                      </a:custGeom>
                      <a:solidFill>
                        <a:srgbClr val="D2232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pt;margin-top:756pt;width:576pt;height:18pt;mso-position-horizontal-relative:page;mso-position-vertical-relative:page;z-index:-15770624" id="docshape1" filled="true" fillcolor="#d2232a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46368">
          <wp:simplePos x="0" y="0"/>
          <wp:positionH relativeFrom="page">
            <wp:posOffset>5689014</wp:posOffset>
          </wp:positionH>
          <wp:positionV relativeFrom="page">
            <wp:posOffset>8671685</wp:posOffset>
          </wp:positionV>
          <wp:extent cx="600807" cy="69290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807" cy="692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875423</wp:posOffset>
              </wp:positionH>
              <wp:positionV relativeFrom="page">
                <wp:posOffset>8642925</wp:posOffset>
              </wp:positionV>
              <wp:extent cx="1671955" cy="6248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71955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DRE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LIC#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01474985</w:t>
                          </w:r>
                        </w:p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925-395-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0175</w:t>
                          </w:r>
                        </w:p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spacing w:val="-2"/>
                                <w:sz w:val="20"/>
                              </w:rPr>
                              <w:t>christy@christyscarealty.com</w:t>
                            </w:r>
                          </w:hyperlink>
                          <w:r>
                            <w:rPr>
                              <w:spacing w:val="-2"/>
                              <w:sz w:val="20"/>
                            </w:rPr>
                            <w:t> christyscaliforniarealty.com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931pt;margin-top:680.545288pt;width:131.65pt;height:49.2pt;mso-position-horizontal-relative:page;mso-position-vertical-relative:page;z-index:-1576960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LIC#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01474985</w:t>
                    </w:r>
                  </w:p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925-395-</w:t>
                    </w:r>
                    <w:r>
                      <w:rPr>
                        <w:spacing w:val="-4"/>
                        <w:sz w:val="20"/>
                      </w:rPr>
                      <w:t>0175</w:t>
                    </w:r>
                  </w:p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2">
                      <w:r>
                        <w:rPr>
                          <w:spacing w:val="-2"/>
                          <w:sz w:val="20"/>
                        </w:rPr>
                        <w:t>christy@christyscarealty.com</w:t>
                      </w:r>
                    </w:hyperlink>
                    <w:r>
                      <w:rPr>
                        <w:spacing w:val="-2"/>
                        <w:sz w:val="20"/>
                      </w:rPr>
                      <w:t> christyscaliforniarealty.com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5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3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7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1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1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58"/>
    </w:pPr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68" w:lineRule="exact"/>
    </w:pPr>
    <w:rPr>
      <w:rFonts w:ascii="Arial" w:hAnsi="Arial" w:eastAsia="Arial" w:cs="Arial"/>
      <w:b/>
      <w:bCs/>
      <w:sz w:val="51"/>
      <w:szCs w:val="5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858" w:hanging="26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hristy@christyscarealt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2024-09-09T00:44:26Z</dcterms:created>
  <dcterms:modified xsi:type="dcterms:W3CDTF">2024-09-09T00:44:26Z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