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591055"/>
                            <a:ext cx="7315200" cy="10642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329"/>
                                <w:ind w:left="1164" w:right="365" w:hanging="798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What’s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difference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between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buying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condo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a free-standing single family residence (SFR)?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505;width:11520;height:1676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329"/>
                          <w:ind w:left="1164" w:right="365" w:hanging="798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What’s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difference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between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buying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condo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8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4"/>
                          </w:rPr>
                          <w:t>a free-standing single family residence (SFR)?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21"/>
        <w:ind w:left="0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380" w:bottom="0" w:left="260" w:right="260"/>
        </w:sectPr>
      </w:pPr>
    </w:p>
    <w:p>
      <w:pPr>
        <w:spacing w:before="94"/>
        <w:ind w:left="459" w:right="9" w:firstLine="695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25460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04771pt;width:27.55pt;height:29.15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0"/>
        </w:rPr>
        <w:t>When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purchasing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property,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choose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between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traditional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stand-alone</w:t>
      </w:r>
      <w:r>
        <w:rPr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single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family residence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(SFR)</w:t>
      </w:r>
      <w:r>
        <w:rPr>
          <w:b/>
          <w:color w:val="231F20"/>
          <w:spacing w:val="-1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unit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multi-family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condominium project</w:t>
      </w:r>
      <w:r>
        <w:rPr>
          <w:color w:val="231F20"/>
          <w:sz w:val="20"/>
        </w:rPr>
        <w:t>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Aside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from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price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location,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type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of property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purchase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one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most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critical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2"/>
          <w:sz w:val="20"/>
        </w:rPr>
        <w:t>decisions</w:t>
      </w:r>
    </w:p>
    <w:p>
      <w:pPr>
        <w:pStyle w:val="BodyText"/>
        <w:ind w:left="459"/>
      </w:pP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make.</w:t>
      </w:r>
    </w:p>
    <w:p>
      <w:pPr>
        <w:pStyle w:val="BodyText"/>
        <w:spacing w:line="249" w:lineRule="auto" w:before="107"/>
        <w:ind w:left="459" w:right="9"/>
      </w:pPr>
      <w:r>
        <w:rPr>
          <w:color w:val="231F20"/>
        </w:rPr>
        <w:t>When you purchase an SFR, you also purchase an undivided interest in a parcel of the land and the airspace around it.</w:t>
      </w:r>
      <w:r>
        <w:rPr>
          <w:color w:val="231F20"/>
          <w:spacing w:val="-1"/>
        </w:rPr>
        <w:t> </w:t>
      </w:r>
      <w:r>
        <w:rPr>
          <w:color w:val="231F20"/>
        </w:rPr>
        <w:t>As the owner of the SFR, you have total control over the home and may remodel or improve it without the consent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anyone</w:t>
      </w:r>
      <w:r>
        <w:rPr>
          <w:color w:val="231F20"/>
          <w:spacing w:val="-11"/>
        </w:rPr>
        <w:t> </w:t>
      </w:r>
      <w:r>
        <w:rPr>
          <w:color w:val="231F20"/>
        </w:rPr>
        <w:t>else,</w:t>
      </w:r>
      <w:r>
        <w:rPr>
          <w:color w:val="231F20"/>
          <w:spacing w:val="-11"/>
        </w:rPr>
        <w:t> </w:t>
      </w:r>
      <w:r>
        <w:rPr>
          <w:color w:val="231F20"/>
        </w:rPr>
        <w:t>except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compliance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building </w:t>
      </w:r>
      <w:r>
        <w:rPr>
          <w:color w:val="231F20"/>
          <w:spacing w:val="-2"/>
        </w:rPr>
        <w:t>ordinances.</w:t>
      </w:r>
    </w:p>
    <w:p>
      <w:pPr>
        <w:pStyle w:val="BodyText"/>
        <w:spacing w:line="249" w:lineRule="auto" w:before="103"/>
        <w:ind w:left="459" w:right="8"/>
      </w:pPr>
      <w:r>
        <w:rPr>
          <w:color w:val="231F20"/>
        </w:rPr>
        <w:t>However, as an SFR owner, you are responsible for maintaining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interior,</w:t>
      </w:r>
      <w:r>
        <w:rPr>
          <w:color w:val="231F20"/>
          <w:spacing w:val="-5"/>
        </w:rPr>
        <w:t> </w:t>
      </w:r>
      <w:r>
        <w:rPr>
          <w:color w:val="231F20"/>
        </w:rPr>
        <w:t>exterior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structural</w:t>
      </w:r>
      <w:r>
        <w:rPr>
          <w:color w:val="231F20"/>
          <w:spacing w:val="-5"/>
        </w:rPr>
        <w:t> </w:t>
      </w:r>
      <w:r>
        <w:rPr>
          <w:color w:val="231F20"/>
        </w:rPr>
        <w:t>components of the home, as well as upkeep of the landscaping, pool, boundary walls, etc.</w:t>
      </w:r>
    </w:p>
    <w:p>
      <w:pPr>
        <w:pStyle w:val="BodyText"/>
        <w:spacing w:line="249" w:lineRule="auto" w:before="100"/>
        <w:ind w:left="459" w:right="8"/>
      </w:pPr>
      <w:r>
        <w:rPr>
          <w:color w:val="231F20"/>
        </w:rPr>
        <w:t>When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buy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unit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condominium</w:t>
      </w:r>
      <w:r>
        <w:rPr>
          <w:color w:val="231F20"/>
          <w:spacing w:val="-8"/>
        </w:rPr>
        <w:t> </w:t>
      </w:r>
      <w:r>
        <w:rPr>
          <w:color w:val="231F20"/>
        </w:rPr>
        <w:t>project,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bargain for living restrictions and ownership operating costs unlike those</w:t>
      </w:r>
      <w:r>
        <w:rPr>
          <w:color w:val="231F20"/>
          <w:spacing w:val="-14"/>
        </w:rPr>
        <w:t> </w:t>
      </w:r>
      <w:r>
        <w:rPr>
          <w:color w:val="231F20"/>
        </w:rPr>
        <w:t>experienced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ownership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self-managed</w:t>
      </w:r>
      <w:r>
        <w:rPr>
          <w:color w:val="231F20"/>
          <w:spacing w:val="-14"/>
        </w:rPr>
        <w:t> </w:t>
      </w:r>
      <w:r>
        <w:rPr>
          <w:color w:val="231F20"/>
        </w:rPr>
        <w:t>SFR.</w:t>
      </w:r>
    </w:p>
    <w:p>
      <w:pPr>
        <w:spacing w:line="249" w:lineRule="auto" w:before="100"/>
        <w:ind w:left="459" w:right="8" w:firstLine="0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wide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variety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condo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projects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exist.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Some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resemble a simple apartment while others resemble townhouses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with common walls or fully detached SFRs in a </w:t>
      </w:r>
      <w:r>
        <w:rPr>
          <w:b/>
          <w:color w:val="231F20"/>
          <w:sz w:val="20"/>
        </w:rPr>
        <w:t>common interest development (CID) </w:t>
      </w:r>
      <w:r>
        <w:rPr>
          <w:color w:val="231F20"/>
          <w:sz w:val="20"/>
        </w:rPr>
        <w:t>with shared amenities. However, ownership of a unit in a condominium project </w:t>
      </w:r>
      <w:r>
        <w:rPr>
          <w:color w:val="231F20"/>
          <w:spacing w:val="-2"/>
          <w:sz w:val="20"/>
        </w:rPr>
        <w:t>universally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includes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compulsory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membership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project’s </w:t>
      </w:r>
      <w:r>
        <w:rPr>
          <w:b/>
          <w:color w:val="231F20"/>
          <w:sz w:val="20"/>
        </w:rPr>
        <w:t>homeowners’ association (HOA). </w:t>
      </w:r>
      <w:r>
        <w:rPr>
          <w:color w:val="231F20"/>
          <w:sz w:val="20"/>
        </w:rPr>
        <w:t>The HOA is charged with </w:t>
      </w:r>
      <w:r>
        <w:rPr>
          <w:b/>
          <w:color w:val="231F20"/>
          <w:sz w:val="20"/>
        </w:rPr>
        <w:t>managing and operating </w:t>
      </w:r>
      <w:r>
        <w:rPr>
          <w:color w:val="231F20"/>
          <w:sz w:val="20"/>
        </w:rPr>
        <w:t>the entire project.</w:t>
      </w:r>
    </w:p>
    <w:p>
      <w:pPr>
        <w:spacing w:line="249" w:lineRule="auto" w:before="103"/>
        <w:ind w:left="459" w:right="0" w:firstLine="0"/>
        <w:jc w:val="both"/>
        <w:rPr>
          <w:sz w:val="20"/>
        </w:rPr>
      </w:pPr>
      <w:r>
        <w:rPr>
          <w:color w:val="231F20"/>
          <w:sz w:val="20"/>
        </w:rPr>
        <w:t>As a common owner of a unit in a CID project and an HOA member,</w:t>
      </w:r>
      <w:r>
        <w:rPr>
          <w:color w:val="231F20"/>
          <w:spacing w:val="31"/>
          <w:sz w:val="20"/>
        </w:rPr>
        <w:t> </w:t>
      </w:r>
      <w:r>
        <w:rPr>
          <w:b/>
          <w:color w:val="231F20"/>
          <w:sz w:val="20"/>
        </w:rPr>
        <w:t>use</w:t>
      </w:r>
      <w:r>
        <w:rPr>
          <w:b/>
          <w:color w:val="231F20"/>
          <w:spacing w:val="32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32"/>
          <w:sz w:val="20"/>
        </w:rPr>
        <w:t> </w:t>
      </w:r>
      <w:r>
        <w:rPr>
          <w:b/>
          <w:color w:val="231F20"/>
          <w:sz w:val="20"/>
        </w:rPr>
        <w:t>operating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z w:val="20"/>
        </w:rPr>
        <w:t>restrictions</w:t>
      </w:r>
      <w:r>
        <w:rPr>
          <w:b/>
          <w:color w:val="231F20"/>
          <w:spacing w:val="32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placed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-5"/>
          <w:sz w:val="20"/>
        </w:rPr>
        <w:t>on</w:t>
      </w:r>
    </w:p>
    <w:p>
      <w:pPr>
        <w:pStyle w:val="BodyText"/>
        <w:spacing w:line="249" w:lineRule="auto" w:before="94"/>
        <w:ind w:right="457"/>
      </w:pPr>
      <w:r>
        <w:rPr/>
        <w:br w:type="column"/>
      </w:r>
      <w:r>
        <w:rPr>
          <w:color w:val="231F20"/>
        </w:rPr>
        <w:t>most types of conduct, including structural alterations, parking and guests.</w:t>
      </w:r>
    </w:p>
    <w:p>
      <w:pPr>
        <w:pStyle w:val="BodyText"/>
        <w:spacing w:line="249" w:lineRule="auto" w:before="99"/>
        <w:ind w:right="457"/>
      </w:pP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implicit</w:t>
      </w:r>
      <w:r>
        <w:rPr>
          <w:color w:val="231F20"/>
          <w:spacing w:val="40"/>
        </w:rPr>
        <w:t> </w:t>
      </w:r>
      <w:r>
        <w:rPr>
          <w:color w:val="231F20"/>
        </w:rPr>
        <w:t>bargain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becoming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owner-member</w:t>
      </w:r>
      <w:r>
        <w:rPr>
          <w:color w:val="231F20"/>
          <w:spacing w:val="40"/>
        </w:rPr>
        <w:t> </w:t>
      </w:r>
      <w:r>
        <w:rPr>
          <w:color w:val="231F20"/>
        </w:rPr>
        <w:t>is the consent to conform conduct to meet extensive use restrictions in exchange for every other owner-member conducting themselves the same. The standards for the conduct are found in the project’s governing documents, such as HOA </w:t>
      </w:r>
      <w:r>
        <w:rPr>
          <w:b/>
          <w:color w:val="231F20"/>
        </w:rPr>
        <w:t>covenants, conditions and restrictions </w:t>
      </w:r>
      <w:r>
        <w:rPr>
          <w:b/>
          <w:color w:val="231F20"/>
          <w:spacing w:val="-2"/>
        </w:rPr>
        <w:t>(CC&amp;Rs)</w:t>
      </w:r>
      <w:r>
        <w:rPr>
          <w:color w:val="231F20"/>
          <w:spacing w:val="-2"/>
        </w:rPr>
        <w:t>.</w:t>
      </w:r>
    </w:p>
    <w:p>
      <w:pPr>
        <w:pStyle w:val="BodyText"/>
        <w:spacing w:before="93"/>
        <w:ind w:right="457"/>
      </w:pPr>
      <w:r>
        <w:rPr>
          <w:color w:val="231F20"/>
        </w:rPr>
        <w:t>Further, the HOA</w:t>
      </w:r>
      <w:r>
        <w:rPr>
          <w:color w:val="231F20"/>
          <w:spacing w:val="-6"/>
        </w:rPr>
        <w:t> </w:t>
      </w:r>
      <w:r>
        <w:rPr>
          <w:color w:val="231F20"/>
        </w:rPr>
        <w:t>has a board of directors and committees consisting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owner-members</w:t>
      </w:r>
      <w:r>
        <w:rPr>
          <w:color w:val="231F20"/>
          <w:spacing w:val="-14"/>
        </w:rPr>
        <w:t> </w:t>
      </w:r>
      <w:r>
        <w:rPr>
          <w:color w:val="231F20"/>
        </w:rPr>
        <w:t>who</w:t>
      </w:r>
      <w:r>
        <w:rPr>
          <w:color w:val="231F20"/>
          <w:spacing w:val="-14"/>
        </w:rPr>
        <w:t> </w:t>
      </w:r>
      <w:r>
        <w:rPr>
          <w:color w:val="231F20"/>
        </w:rPr>
        <w:t>are</w:t>
      </w:r>
      <w:r>
        <w:rPr>
          <w:color w:val="231F20"/>
          <w:spacing w:val="-14"/>
        </w:rPr>
        <w:t> </w:t>
      </w:r>
      <w:r>
        <w:rPr>
          <w:color w:val="231F20"/>
        </w:rPr>
        <w:t>appointed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oversee the conduct of all the owner-members and their guests as complying with the CC&amp;Rs.</w:t>
      </w:r>
    </w:p>
    <w:p>
      <w:pPr>
        <w:pStyle w:val="BodyText"/>
        <w:spacing w:before="97"/>
        <w:ind w:right="457"/>
      </w:pPr>
      <w:r>
        <w:rPr>
          <w:color w:val="231F20"/>
        </w:rPr>
        <w:t>On a committee’s recommendation concerning an owner- member’s</w:t>
      </w:r>
      <w:r>
        <w:rPr>
          <w:color w:val="231F20"/>
          <w:spacing w:val="-3"/>
        </w:rPr>
        <w:t> </w:t>
      </w:r>
      <w:r>
        <w:rPr>
          <w:color w:val="231F20"/>
        </w:rPr>
        <w:t>violation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HOA</w:t>
      </w:r>
      <w:r>
        <w:rPr>
          <w:color w:val="231F20"/>
          <w:spacing w:val="-13"/>
        </w:rPr>
        <w:t> </w:t>
      </w:r>
      <w:r>
        <w:rPr>
          <w:color w:val="231F20"/>
        </w:rPr>
        <w:t>rule,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HOA</w:t>
      </w:r>
      <w:r>
        <w:rPr>
          <w:color w:val="231F20"/>
          <w:spacing w:val="-1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steps to</w:t>
      </w:r>
      <w:r>
        <w:rPr>
          <w:color w:val="231F20"/>
          <w:spacing w:val="-11"/>
        </w:rPr>
        <w:t> </w:t>
      </w:r>
      <w:r>
        <w:rPr>
          <w:color w:val="231F20"/>
        </w:rPr>
        <w:t>enforce</w:t>
      </w:r>
      <w:r>
        <w:rPr>
          <w:color w:val="231F20"/>
          <w:spacing w:val="-11"/>
        </w:rPr>
        <w:t> </w:t>
      </w:r>
      <w:r>
        <w:rPr>
          <w:color w:val="231F20"/>
        </w:rPr>
        <w:t>compliance,</w:t>
      </w:r>
      <w:r>
        <w:rPr>
          <w:color w:val="231F20"/>
          <w:spacing w:val="-10"/>
        </w:rPr>
        <w:t> </w:t>
      </w:r>
      <w:r>
        <w:rPr>
          <w:color w:val="231F20"/>
        </w:rPr>
        <w:t>usually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notice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violation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the offending owner-member.</w:t>
      </w:r>
    </w:p>
    <w:p>
      <w:pPr>
        <w:pStyle w:val="BodyText"/>
        <w:spacing w:before="97"/>
        <w:ind w:right="450"/>
      </w:pPr>
      <w:r>
        <w:rPr>
          <w:color w:val="231F20"/>
        </w:rPr>
        <w:t>To fund the operating budget to pay for the cost of maintaining the common areas, which most always includes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structures,</w:t>
      </w:r>
      <w:r>
        <w:rPr>
          <w:color w:val="231F20"/>
          <w:spacing w:val="-1"/>
        </w:rPr>
        <w:t> </w:t>
      </w:r>
      <w:r>
        <w:rPr>
          <w:color w:val="231F20"/>
        </w:rPr>
        <w:t>owner-members</w:t>
      </w:r>
      <w:r>
        <w:rPr>
          <w:color w:val="231F20"/>
          <w:spacing w:val="-1"/>
        </w:rPr>
        <w:t> </w:t>
      </w:r>
      <w:r>
        <w:rPr>
          <w:color w:val="231F20"/>
        </w:rPr>
        <w:t>pay</w:t>
      </w:r>
      <w:r>
        <w:rPr>
          <w:color w:val="231F20"/>
          <w:spacing w:val="-1"/>
        </w:rPr>
        <w:t> </w:t>
      </w:r>
      <w:r>
        <w:rPr>
          <w:color w:val="231F20"/>
        </w:rPr>
        <w:t>monthly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HOA assessments</w:t>
      </w:r>
      <w:r>
        <w:rPr>
          <w:color w:val="231F20"/>
        </w:rPr>
        <w:t>. The HOA determines what costs will be budgeted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pay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maintenance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property’s</w:t>
      </w:r>
      <w:r>
        <w:rPr>
          <w:color w:val="231F20"/>
          <w:spacing w:val="-14"/>
        </w:rPr>
        <w:t> </w:t>
      </w:r>
      <w:r>
        <w:rPr>
          <w:color w:val="231F20"/>
        </w:rPr>
        <w:t>structure, its exterior surfaces, landscaping and common areas. Maintenance of interior areas within each unit is the unit owner’s responsibility.</w:t>
      </w:r>
    </w:p>
    <w:p>
      <w:pPr>
        <w:pStyle w:val="BodyText"/>
        <w:spacing w:before="98"/>
        <w:ind w:right="457"/>
      </w:pPr>
      <w:r>
        <w:rPr>
          <w:color w:val="231F20"/>
        </w:rPr>
        <w:t>There are advantages and disadvantages to both types of housing. As your agent, I am here to help you determine whether a detached SFR or a condo is the most suitable dwelling for your needs!</w:t>
      </w:r>
    </w:p>
    <w:p>
      <w:pPr>
        <w:spacing w:after="0"/>
        <w:sectPr>
          <w:type w:val="continuous"/>
          <w:pgSz w:w="12240" w:h="15840"/>
          <w:pgMar w:top="380" w:bottom="0" w:left="260" w:right="260"/>
          <w:cols w:num="2" w:equalWidth="0">
            <w:col w:w="5692" w:space="40"/>
            <w:col w:w="5988"/>
          </w:cols>
        </w:sectPr>
      </w:pPr>
    </w:p>
    <w:p>
      <w:pPr>
        <w:pStyle w:val="BodyText"/>
        <w:spacing w:before="28"/>
        <w:ind w:left="0"/>
        <w:jc w:val="left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97702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  <w:jc w:val="left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  <w:jc w:val="left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8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2024-09-08T23:24:15Z</dcterms:created>
  <dcterms:modified xsi:type="dcterms:W3CDTF">2024-09-08T23:24:15Z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